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30" w:rsidRPr="00F334CE" w:rsidRDefault="00D53830" w:rsidP="00F334CE">
      <w:pPr>
        <w:pStyle w:val="Heading1"/>
        <w:keepNext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0"/>
          <w:tab w:val="left" w:pos="390"/>
        </w:tabs>
        <w:suppressAutoHyphens/>
        <w:spacing w:before="0"/>
        <w:jc w:val="center"/>
        <w:rPr>
          <w:rFonts w:ascii="Calibri" w:hAnsi="Calibri"/>
          <w:bCs/>
          <w:sz w:val="28"/>
          <w:szCs w:val="28"/>
          <w:u w:val="none"/>
          <w:lang w:eastAsia="ar-SA"/>
        </w:rPr>
      </w:pPr>
      <w:r w:rsidRPr="00F334CE">
        <w:rPr>
          <w:rFonts w:ascii="Calibri" w:hAnsi="Calibri"/>
          <w:bCs/>
          <w:sz w:val="28"/>
          <w:szCs w:val="28"/>
          <w:u w:val="none"/>
          <w:lang w:eastAsia="ar-SA"/>
        </w:rPr>
        <w:t>Załącznik nr 3 Treść klauzul i warunków szczególnych preferowanych</w:t>
      </w:r>
    </w:p>
    <w:p w:rsidR="00D53830" w:rsidRPr="00656023" w:rsidRDefault="00D53830" w:rsidP="00596272">
      <w:pPr>
        <w:ind w:firstLine="708"/>
        <w:rPr>
          <w:rFonts w:ascii="Calibri" w:hAnsi="Calibri"/>
          <w:b/>
          <w:color w:val="FF0000"/>
          <w:sz w:val="16"/>
          <w:szCs w:val="16"/>
        </w:rPr>
      </w:pPr>
    </w:p>
    <w:p w:rsidR="00D53830" w:rsidRPr="00656023" w:rsidRDefault="00D53830" w:rsidP="00596272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656023">
        <w:rPr>
          <w:rFonts w:ascii="Calibri" w:hAnsi="Calibri"/>
          <w:b/>
          <w:bCs/>
          <w:sz w:val="22"/>
          <w:szCs w:val="22"/>
        </w:rPr>
        <w:t xml:space="preserve">Klauzula </w:t>
      </w:r>
      <w:r>
        <w:rPr>
          <w:rFonts w:ascii="Calibri" w:hAnsi="Calibri"/>
          <w:b/>
          <w:bCs/>
          <w:sz w:val="22"/>
          <w:szCs w:val="22"/>
        </w:rPr>
        <w:t xml:space="preserve">terroryzmu, </w:t>
      </w:r>
      <w:r w:rsidRPr="00656023">
        <w:rPr>
          <w:rFonts w:ascii="Calibri" w:hAnsi="Calibri"/>
          <w:b/>
          <w:bCs/>
          <w:sz w:val="22"/>
          <w:szCs w:val="22"/>
        </w:rPr>
        <w:t xml:space="preserve">sabotażu, zamieszek społecznych, rozruchów i strajków </w:t>
      </w:r>
      <w:r w:rsidRPr="00656023">
        <w:rPr>
          <w:rFonts w:ascii="Calibri" w:hAnsi="Calibri"/>
          <w:b/>
          <w:sz w:val="22"/>
          <w:szCs w:val="22"/>
        </w:rPr>
        <w:t>–</w:t>
      </w:r>
      <w:r w:rsidRPr="00656023">
        <w:rPr>
          <w:rFonts w:ascii="Calibri" w:hAnsi="Calibri"/>
          <w:b/>
          <w:bCs/>
          <w:sz w:val="22"/>
          <w:szCs w:val="22"/>
        </w:rPr>
        <w:t xml:space="preserve"> </w:t>
      </w:r>
      <w:r w:rsidRPr="00656023">
        <w:rPr>
          <w:rFonts w:ascii="Calibri" w:hAnsi="Calibr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D53830" w:rsidRPr="00656023" w:rsidRDefault="00D53830" w:rsidP="00596272">
      <w:pPr>
        <w:ind w:left="794"/>
        <w:jc w:val="both"/>
        <w:rPr>
          <w:rFonts w:ascii="Calibri" w:hAnsi="Calibri"/>
          <w:bCs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w ramach umowy ubezpieczenia będą także pokryte szkody powstałe w ubezpieczonym mieniu będącym następstwem </w:t>
      </w:r>
      <w:r>
        <w:rPr>
          <w:rFonts w:ascii="Calibri" w:hAnsi="Calibri"/>
          <w:sz w:val="22"/>
          <w:szCs w:val="22"/>
        </w:rPr>
        <w:t xml:space="preserve">terroryzmu, </w:t>
      </w:r>
      <w:r w:rsidRPr="00656023">
        <w:rPr>
          <w:rFonts w:ascii="Calibri" w:hAnsi="Calibri"/>
          <w:sz w:val="22"/>
          <w:szCs w:val="22"/>
        </w:rPr>
        <w:t>sabotażu, zamieszek społecznych, rozruchów i strajków oraz zwolnień grupowych.</w:t>
      </w:r>
      <w:r>
        <w:rPr>
          <w:rFonts w:ascii="Calibri" w:hAnsi="Calibri"/>
          <w:sz w:val="22"/>
          <w:szCs w:val="22"/>
        </w:rPr>
        <w:t xml:space="preserve"> Limit na jedno i wszystkie zdarzenia w okresie ubezpieczenia 5.000.000 zł.</w:t>
      </w:r>
    </w:p>
    <w:p w:rsidR="00D53830" w:rsidRPr="00656023" w:rsidRDefault="00D53830" w:rsidP="0059627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b/>
          <w:bCs/>
          <w:sz w:val="22"/>
          <w:szCs w:val="22"/>
        </w:rPr>
        <w:t xml:space="preserve">Klauzula samolikwidacji szkód </w:t>
      </w:r>
      <w:r w:rsidRPr="00656023">
        <w:rPr>
          <w:rFonts w:ascii="Calibri" w:hAnsi="Calibri"/>
          <w:b/>
          <w:sz w:val="22"/>
          <w:szCs w:val="22"/>
        </w:rPr>
        <w:t>–</w:t>
      </w:r>
      <w:r w:rsidRPr="00656023">
        <w:rPr>
          <w:rFonts w:ascii="Calibri" w:hAnsi="Calibri"/>
          <w:b/>
          <w:bCs/>
          <w:sz w:val="22"/>
          <w:szCs w:val="22"/>
        </w:rPr>
        <w:t xml:space="preserve"> </w:t>
      </w:r>
      <w:r w:rsidRPr="00656023">
        <w:rPr>
          <w:rFonts w:ascii="Calibri" w:hAnsi="Calibr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D53830" w:rsidRPr="00656023" w:rsidRDefault="00D53830" w:rsidP="00596272">
      <w:pPr>
        <w:ind w:left="794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dla szkód o wartości poniżej 10.000 zł, ubezpieczony po sporządzeniu protokołu potwierdzonego przez osobę do tego uprawnioną oraz po powiadomieniu ubezpieczyciela, może przystąpić do natychmiastowej naprawy szkody, pod warunkiem wykonania dokumentacji fotograficznej i protokołu uszkodzeń. </w:t>
      </w:r>
    </w:p>
    <w:p w:rsidR="00D53830" w:rsidRPr="00656023" w:rsidRDefault="00D53830" w:rsidP="0059627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b/>
          <w:sz w:val="22"/>
          <w:szCs w:val="22"/>
        </w:rPr>
        <w:t xml:space="preserve">Klauzula funduszu prewencyjnego – - </w:t>
      </w:r>
      <w:r w:rsidRPr="00656023">
        <w:rPr>
          <w:rFonts w:ascii="Calibri" w:hAnsi="Calibr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D53830" w:rsidRPr="00656023" w:rsidRDefault="00D53830" w:rsidP="00596272">
      <w:pPr>
        <w:ind w:left="794"/>
        <w:jc w:val="both"/>
        <w:rPr>
          <w:rFonts w:ascii="Calibri" w:hAnsi="Calibri"/>
          <w:b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ubezpieczyciel postawi do dyspozycji Zamawiającego fundusz prewencyjny w kwocie stanowiącej minimum 10% składek wynikających z zamówienia, nie mniej niż 10.000 zł. Kwota zostanie przekazana w terminie 30 dni od daty wystosowania wniosku w tej sprawie. Po wykorzystaniu funduszu, Zamawiający przedstawi dokumenty potwierdzające poniesione wydatki i ich cel.</w:t>
      </w:r>
      <w:r>
        <w:rPr>
          <w:rFonts w:ascii="Calibri" w:hAnsi="Calibri"/>
          <w:sz w:val="22"/>
          <w:szCs w:val="22"/>
        </w:rPr>
        <w:t xml:space="preserve"> Cel </w:t>
      </w:r>
    </w:p>
    <w:p w:rsidR="00D53830" w:rsidRPr="00656023" w:rsidRDefault="00D53830" w:rsidP="00596272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Klauzula s</w:t>
      </w:r>
      <w:r w:rsidRPr="00656023">
        <w:rPr>
          <w:rFonts w:ascii="Calibri" w:hAnsi="Calibri"/>
          <w:b/>
          <w:sz w:val="22"/>
          <w:szCs w:val="22"/>
        </w:rPr>
        <w:t>um</w:t>
      </w:r>
      <w:r>
        <w:rPr>
          <w:rFonts w:ascii="Calibri" w:hAnsi="Calibri"/>
          <w:b/>
          <w:sz w:val="22"/>
          <w:szCs w:val="22"/>
        </w:rPr>
        <w:t>y</w:t>
      </w:r>
      <w:r w:rsidRPr="00656023">
        <w:rPr>
          <w:rFonts w:ascii="Calibri" w:hAnsi="Calibri"/>
          <w:b/>
          <w:sz w:val="22"/>
          <w:szCs w:val="22"/>
        </w:rPr>
        <w:t xml:space="preserve"> ubezpieczenia prewencyjnego - </w:t>
      </w:r>
      <w:r w:rsidRPr="00656023">
        <w:rPr>
          <w:rFonts w:ascii="Calibri" w:hAnsi="Calibr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D53830" w:rsidRPr="00656023" w:rsidRDefault="00D53830" w:rsidP="002E6776">
      <w:pPr>
        <w:suppressAutoHyphens/>
        <w:ind w:left="708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Wprowadzają sumę ubezpieczenia prewencyjnego w wysokości </w:t>
      </w:r>
      <w:r>
        <w:rPr>
          <w:rFonts w:ascii="Calibri" w:hAnsi="Calibri"/>
          <w:sz w:val="22"/>
          <w:szCs w:val="22"/>
        </w:rPr>
        <w:t>5</w:t>
      </w:r>
      <w:r w:rsidRPr="00656023">
        <w:rPr>
          <w:rFonts w:ascii="Calibri" w:hAnsi="Calibri"/>
          <w:sz w:val="22"/>
          <w:szCs w:val="22"/>
        </w:rPr>
        <w:t>.000.000 zł. Będzie  dotyczyć tych pozycji, w przypadku których po szkodzie stwierdzono niedoubezpieczenie.</w:t>
      </w:r>
      <w:r>
        <w:rPr>
          <w:rFonts w:ascii="Calibri" w:hAnsi="Calibri"/>
          <w:sz w:val="22"/>
          <w:szCs w:val="22"/>
        </w:rPr>
        <w:t xml:space="preserve"> </w:t>
      </w:r>
    </w:p>
    <w:p w:rsidR="00D53830" w:rsidRPr="00656023" w:rsidRDefault="00D53830" w:rsidP="00596272">
      <w:pPr>
        <w:numPr>
          <w:ilvl w:val="0"/>
          <w:numId w:val="1"/>
        </w:numPr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color w:val="000000"/>
          <w:sz w:val="22"/>
          <w:szCs w:val="22"/>
        </w:rPr>
        <w:t xml:space="preserve">Klauzula likwidacyjna </w:t>
      </w:r>
      <w:r w:rsidRPr="00656023">
        <w:rPr>
          <w:rFonts w:ascii="Calibri" w:hAnsi="Calibri"/>
          <w:color w:val="000000"/>
          <w:sz w:val="22"/>
          <w:szCs w:val="22"/>
        </w:rPr>
        <w:t xml:space="preserve">– </w:t>
      </w:r>
      <w:r w:rsidRPr="00656023">
        <w:rPr>
          <w:rFonts w:ascii="Calibri" w:hAnsi="Calibr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D53830" w:rsidRPr="00656023" w:rsidRDefault="00D53830" w:rsidP="00596272">
      <w:pPr>
        <w:suppressAutoHyphens/>
        <w:ind w:left="794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bez względu na stopień umorzenia księgowego lub zużycia technicznego danego środka trwałego, odszkodowanie wypłacane jest w pełnej wysokości, do wartości określonej w polisie dla danego środka trwałego, bez potrącenia umorzenia księgowego i zużycia technicznego (wg faktur). W przypadku nie odtwarzania środka trwałego wypłata odszkodowania nastąpi na podstawie przedstawionego kosztorysu również bez potrącenia umorzenia lub zużycia technicznego. </w:t>
      </w:r>
    </w:p>
    <w:p w:rsidR="00D53830" w:rsidRPr="00656023" w:rsidRDefault="00D53830" w:rsidP="00596272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b/>
          <w:sz w:val="22"/>
          <w:szCs w:val="22"/>
        </w:rPr>
        <w:t xml:space="preserve">Akceptacja aktualnego stanu zabezpieczeń przeciwpożarowych i przeciwkradzieżowych </w:t>
      </w:r>
      <w:r w:rsidRPr="00656023">
        <w:rPr>
          <w:rFonts w:ascii="Calibri" w:hAnsi="Calibri"/>
          <w:sz w:val="22"/>
          <w:szCs w:val="22"/>
        </w:rPr>
        <w:t xml:space="preserve">– </w:t>
      </w:r>
      <w:r w:rsidRPr="00656023">
        <w:rPr>
          <w:rFonts w:ascii="Calibri" w:hAnsi="Calibri"/>
          <w:sz w:val="22"/>
          <w:szCs w:val="22"/>
        </w:rPr>
        <w:br/>
        <w:t>Z zachowaniem pozostałych, nie zmienionych niniejszą klauzulą, postanowień umowy ubezpieczenia określonych w SIWZ i ogólnych warunkach ubezpieczenia strony uzgodniły, że:</w:t>
      </w:r>
    </w:p>
    <w:p w:rsidR="00D53830" w:rsidRPr="00656023" w:rsidRDefault="00D53830" w:rsidP="00596272">
      <w:pPr>
        <w:widowControl w:val="0"/>
        <w:tabs>
          <w:tab w:val="left" w:pos="1080"/>
        </w:tabs>
        <w:autoSpaceDE w:val="0"/>
        <w:autoSpaceDN w:val="0"/>
        <w:adjustRightInd w:val="0"/>
        <w:ind w:left="851" w:hanging="143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ab/>
        <w:t>ubezpieczyciel przed zawarciem umowy ubezpieczenia zapozna się ze stanem zabezpieczeń przeciwpożarowych/przeciwkradzieżowych w lokalizacji, w której znajduje się ubezpieczane mienie na podstawie przekazanego opisu, zgłosi przed zawarciem umowy wszelkie zastrzeżenia bądź zalecenia. Brak zastrzeżeń będzie oznaczał, że w okresie ubezpieczenia ubezpieczyciel nie będzie mógł podnosić zarzutu o niedostatecznym sposobie zabezpieczenia mienia w celu oddalenia roszczeń odszkodowawczych. Ewentualne zalecenia ubezpieczyciela nie mogą być bardziej rygorystyczne niż te, które określone są w OWU jako minimalne dla uznania odpowiedzialności ubezpieczyciela.</w:t>
      </w:r>
      <w:r>
        <w:rPr>
          <w:rFonts w:ascii="Calibri" w:hAnsi="Calibri"/>
          <w:sz w:val="22"/>
          <w:szCs w:val="22"/>
        </w:rPr>
        <w:t xml:space="preserve"> </w:t>
      </w:r>
      <w:r w:rsidRPr="00656023">
        <w:rPr>
          <w:rFonts w:ascii="Calibri" w:hAnsi="Calibri"/>
          <w:sz w:val="22"/>
          <w:szCs w:val="22"/>
        </w:rPr>
        <w:t>Jeżeli w terminie 30 dni po przekazaniu zaleceń ubezpieczyciela, ubezpieczający nie wprowadzi koniecznych zabezpieczeń, ubezpieczyciel może uchylić się od  odpowiedzialności, jeżeli brak przedmiotowych  zabezpieczeń miał wpływ na powstanie szkody lub jej rozmiar.</w:t>
      </w:r>
    </w:p>
    <w:p w:rsidR="00D53830" w:rsidRPr="00227D90" w:rsidRDefault="00D53830" w:rsidP="00670EEF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227D90">
        <w:rPr>
          <w:rFonts w:ascii="Calibri" w:hAnsi="Calibri"/>
          <w:b/>
          <w:bCs/>
          <w:sz w:val="22"/>
          <w:szCs w:val="22"/>
        </w:rPr>
        <w:t xml:space="preserve">Klauzula inwestycyjna - </w:t>
      </w:r>
      <w:r w:rsidRPr="00227D90">
        <w:rPr>
          <w:rFonts w:ascii="Calibri" w:hAnsi="Calibr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D53830" w:rsidRPr="00227D90" w:rsidRDefault="00D53830" w:rsidP="00AA2B9A">
      <w:pPr>
        <w:ind w:left="794"/>
        <w:jc w:val="both"/>
        <w:rPr>
          <w:rFonts w:ascii="Calibri" w:hAnsi="Calibri"/>
          <w:sz w:val="22"/>
          <w:szCs w:val="22"/>
        </w:rPr>
      </w:pPr>
      <w:r w:rsidRPr="00227D90">
        <w:rPr>
          <w:rFonts w:ascii="Calibri" w:hAnsi="Calibri"/>
          <w:sz w:val="22"/>
          <w:szCs w:val="22"/>
        </w:rPr>
        <w:t>ochroną ubezpieczeniową objęte są wszystkie szkody w rozpoczętych i niezakończonych inwestycjach (montaż, budowa nowych linii technologicznych, hal, modernizacja istniejących obiektów itp.) w trakcie wykonywania kontraktów, prac remontowych powstałe na skutek ryzyk:</w:t>
      </w:r>
    </w:p>
    <w:p w:rsidR="00D53830" w:rsidRPr="00227D90" w:rsidRDefault="00D53830" w:rsidP="00AA2B9A">
      <w:pPr>
        <w:ind w:left="708"/>
        <w:jc w:val="both"/>
        <w:rPr>
          <w:rFonts w:ascii="Calibri" w:hAnsi="Calibri"/>
          <w:sz w:val="22"/>
          <w:szCs w:val="22"/>
        </w:rPr>
      </w:pPr>
      <w:r w:rsidRPr="00227D90">
        <w:rPr>
          <w:rFonts w:ascii="Calibri" w:hAnsi="Calibri"/>
          <w:sz w:val="22"/>
          <w:szCs w:val="22"/>
        </w:rPr>
        <w:t>ogień, wybuch, upadek statku powietrznego, piorun, huragan (parametr prędkości wiatru 17 m/s), powódź, zalanie, wydostawanie się wody i innych cieczy z urządzeń wodociągowo-kanalizacyjnych (w tym cofnięcie i spiętrzenie wody wskutek niedrożności kanalizacji), grad, deszcz nawalny, osuwanie się ziemi, przewrócenie się drzew, masztów i innych obiektów na ubezpieczone mienie, zaleganie śniegu, lodu na ubezpieczonym mieniu, trzęsienie ziemi, lawina, dym, implozja, uderzenie pojazdu w ubezpieczone mienie, huk ponaddźwiękowy, spływ wód po zboczach, przepięcia spowodowane wyładowaniami atmosferycznymi, akcja ratownicza, działanie wody gruntowej, uszkodzenie chodników, rurociągów, innych budowli, pękanie i przecieki z kotłów, rurociągów.</w:t>
      </w:r>
    </w:p>
    <w:p w:rsidR="00D53830" w:rsidRPr="00227D90" w:rsidRDefault="00D53830" w:rsidP="00AA2B9A">
      <w:pPr>
        <w:ind w:left="708"/>
        <w:jc w:val="both"/>
        <w:rPr>
          <w:rFonts w:ascii="Calibri" w:hAnsi="Calibri"/>
          <w:color w:val="FF0000"/>
          <w:sz w:val="22"/>
          <w:szCs w:val="22"/>
        </w:rPr>
      </w:pPr>
      <w:r w:rsidRPr="00227D90">
        <w:rPr>
          <w:rFonts w:ascii="Calibri" w:hAnsi="Calibri"/>
          <w:sz w:val="22"/>
          <w:szCs w:val="22"/>
        </w:rPr>
        <w:t>Po dokonaniu odbioru końcowego wewnętrznego ubezpieczone inwestycje zostają automatycznie objęte ochroną ubezpieczeniową w zakresie ubezpieczenia mienia od wszystkich ryzyk</w:t>
      </w:r>
      <w:r>
        <w:rPr>
          <w:rFonts w:ascii="Calibri" w:hAnsi="Calibri"/>
          <w:sz w:val="22"/>
          <w:szCs w:val="22"/>
        </w:rPr>
        <w:t>.</w:t>
      </w:r>
    </w:p>
    <w:p w:rsidR="00D53830" w:rsidRPr="00803042" w:rsidRDefault="00D53830" w:rsidP="00670EEF">
      <w:pPr>
        <w:numPr>
          <w:ilvl w:val="0"/>
          <w:numId w:val="1"/>
        </w:numPr>
        <w:suppressAutoHyphens/>
        <w:jc w:val="both"/>
        <w:rPr>
          <w:rFonts w:ascii="Calibri" w:hAnsi="Calibri"/>
          <w:b/>
          <w:sz w:val="22"/>
          <w:szCs w:val="22"/>
        </w:rPr>
      </w:pPr>
      <w:r w:rsidRPr="00670EEF">
        <w:rPr>
          <w:rFonts w:ascii="Calibri" w:hAnsi="Calibri"/>
          <w:b/>
          <w:sz w:val="22"/>
          <w:szCs w:val="22"/>
        </w:rPr>
        <w:t>Klauzula</w:t>
      </w:r>
      <w:r>
        <w:rPr>
          <w:rFonts w:ascii="Calibri" w:hAnsi="Calibri"/>
          <w:b/>
          <w:sz w:val="22"/>
          <w:szCs w:val="22"/>
        </w:rPr>
        <w:t xml:space="preserve"> rażącego naruszenia przepisów prawa o ruchu drogowym.</w:t>
      </w:r>
      <w:r w:rsidRPr="00670E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</w:t>
      </w:r>
      <w:r w:rsidRPr="00227D90">
        <w:rPr>
          <w:rFonts w:ascii="Calibri" w:hAnsi="Calibr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D53830" w:rsidRPr="00670EEF" w:rsidRDefault="00D53830" w:rsidP="00803042">
      <w:pPr>
        <w:suppressAutoHyphens/>
        <w:ind w:left="708"/>
        <w:jc w:val="both"/>
        <w:rPr>
          <w:rFonts w:ascii="Calibri" w:hAnsi="Calibri"/>
          <w:b/>
          <w:sz w:val="22"/>
          <w:szCs w:val="22"/>
        </w:rPr>
      </w:pPr>
      <w:r w:rsidRPr="00670EEF">
        <w:rPr>
          <w:rFonts w:ascii="Calibri" w:hAnsi="Calibri"/>
          <w:sz w:val="22"/>
          <w:szCs w:val="22"/>
        </w:rPr>
        <w:t>Ubezpieczyciel nie pomniejszy odszkodowania w przypadku, gdy kierujący pojazdem rażąco naruszy przepisy prawa o ruchu drogowym, w tym: przekroczy dopuszczalną prędkość, wymusi pierwszeństwo przejazdu, wyprzedzi w miejscu niedozwolonym, wjedzie na skrzyżowanie przy czerwonym świetle. Nie dotyczy winy umyślnej. Klauzula dotyczy ubezpieczenia autocasco.</w:t>
      </w:r>
    </w:p>
    <w:p w:rsidR="00D53830" w:rsidRPr="00803042" w:rsidRDefault="00D53830" w:rsidP="00FA19AC">
      <w:pPr>
        <w:numPr>
          <w:ilvl w:val="0"/>
          <w:numId w:val="1"/>
        </w:numPr>
        <w:suppressAutoHyphens/>
        <w:jc w:val="both"/>
        <w:rPr>
          <w:rFonts w:ascii="Calibri" w:hAnsi="Calibri"/>
          <w:b/>
          <w:sz w:val="22"/>
          <w:szCs w:val="22"/>
        </w:rPr>
      </w:pPr>
      <w:r w:rsidRPr="00670EEF">
        <w:rPr>
          <w:rFonts w:ascii="Calibri" w:hAnsi="Calibri"/>
          <w:b/>
          <w:sz w:val="22"/>
          <w:szCs w:val="22"/>
        </w:rPr>
        <w:t>Klauzula</w:t>
      </w:r>
      <w:r>
        <w:rPr>
          <w:rFonts w:ascii="Calibri" w:hAnsi="Calibri"/>
          <w:b/>
          <w:sz w:val="22"/>
          <w:szCs w:val="22"/>
        </w:rPr>
        <w:t xml:space="preserve"> kierowcy pod wpływem alkoholu</w:t>
      </w:r>
      <w:r w:rsidRPr="00670E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</w:t>
      </w:r>
      <w:r w:rsidRPr="00227D90">
        <w:rPr>
          <w:rFonts w:ascii="Calibri" w:hAnsi="Calibr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D53830" w:rsidRDefault="00D53830" w:rsidP="00325697">
      <w:pPr>
        <w:suppressAutoHyphens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przypadku, gdy kierujący pojazdem spowoduje szkodę będąc w stanie po użyciu alkoholu (tj. stwierdzonym </w:t>
      </w:r>
      <w:r w:rsidRPr="00325697">
        <w:rPr>
          <w:rFonts w:ascii="Calibri" w:hAnsi="Calibri"/>
          <w:sz w:val="22"/>
          <w:szCs w:val="22"/>
        </w:rPr>
        <w:t>stężeniu alkoholu  we </w:t>
      </w:r>
      <w:hyperlink r:id="rId7" w:tooltip="Krew" w:history="1">
        <w:r w:rsidRPr="00325697">
          <w:rPr>
            <w:rFonts w:ascii="Calibri" w:hAnsi="Calibri"/>
            <w:sz w:val="22"/>
            <w:szCs w:val="22"/>
          </w:rPr>
          <w:t>krwi</w:t>
        </w:r>
      </w:hyperlink>
      <w:r w:rsidRPr="00325697">
        <w:rPr>
          <w:rFonts w:ascii="Calibri" w:hAnsi="Calibri"/>
          <w:sz w:val="22"/>
          <w:szCs w:val="22"/>
        </w:rPr>
        <w:t xml:space="preserve"> od 0,2‰ do 0,5‰) </w:t>
      </w:r>
      <w:r>
        <w:rPr>
          <w:rFonts w:ascii="Calibri" w:hAnsi="Calibri"/>
          <w:sz w:val="22"/>
          <w:szCs w:val="22"/>
        </w:rPr>
        <w:t xml:space="preserve">ubezpieczyciel nie będzie się powoływał na wyłączenie odpowiedzialności i wypłaci odszkodowanie na rzecz ubezpieczającego, zachowując przy tym prawo regresu do kierującego. </w:t>
      </w:r>
      <w:r w:rsidRPr="00670EEF">
        <w:rPr>
          <w:rFonts w:ascii="Calibri" w:hAnsi="Calibri"/>
          <w:sz w:val="22"/>
          <w:szCs w:val="22"/>
        </w:rPr>
        <w:t>Klauzula dotyczy ubezpieczenia autocasco</w:t>
      </w:r>
    </w:p>
    <w:p w:rsidR="00D53830" w:rsidRPr="00803042" w:rsidRDefault="00D53830" w:rsidP="00EE29DB">
      <w:pPr>
        <w:numPr>
          <w:ilvl w:val="0"/>
          <w:numId w:val="1"/>
        </w:num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Klauzula zwiększonego limitu holowania i kosztów akcji ratowniczej</w:t>
      </w:r>
      <w:r w:rsidRPr="00EE29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</w:t>
      </w:r>
      <w:r w:rsidRPr="00227D90">
        <w:rPr>
          <w:rFonts w:ascii="Calibri" w:hAnsi="Calibr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D53830" w:rsidRPr="00EE29DB" w:rsidRDefault="00D53830" w:rsidP="00EE29DB">
      <w:pPr>
        <w:suppressAutoHyphens/>
        <w:ind w:left="794"/>
        <w:jc w:val="both"/>
        <w:rPr>
          <w:rFonts w:ascii="Calibri" w:hAnsi="Calibri"/>
          <w:sz w:val="22"/>
          <w:szCs w:val="22"/>
        </w:rPr>
      </w:pPr>
      <w:r w:rsidRPr="00EE29DB">
        <w:rPr>
          <w:rFonts w:ascii="Calibri" w:hAnsi="Calibri"/>
          <w:sz w:val="22"/>
          <w:szCs w:val="22"/>
        </w:rPr>
        <w:t xml:space="preserve">Wprowadza się </w:t>
      </w:r>
      <w:r>
        <w:rPr>
          <w:rFonts w:ascii="Calibri" w:hAnsi="Calibri"/>
          <w:sz w:val="22"/>
          <w:szCs w:val="22"/>
        </w:rPr>
        <w:t xml:space="preserve">limit łączny na holowanie i koszty akcji ratowniczej do kwoty 20.000 zł na jeden pojazd na jedno i wszystkie zdarzenia w okresie ubezpieczenia. </w:t>
      </w:r>
      <w:r w:rsidRPr="00670EEF">
        <w:rPr>
          <w:rFonts w:ascii="Calibri" w:hAnsi="Calibri"/>
          <w:sz w:val="22"/>
          <w:szCs w:val="22"/>
        </w:rPr>
        <w:t>Klauzula dotyczy ubezpieczenia autocasco</w:t>
      </w:r>
    </w:p>
    <w:p w:rsidR="00D53830" w:rsidRDefault="00D53830">
      <w:bookmarkStart w:id="0" w:name="_GoBack"/>
      <w:bookmarkEnd w:id="0"/>
    </w:p>
    <w:sectPr w:rsidR="00D53830" w:rsidSect="00131A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30" w:rsidRDefault="00D53830" w:rsidP="00596272">
      <w:r>
        <w:separator/>
      </w:r>
    </w:p>
  </w:endnote>
  <w:endnote w:type="continuationSeparator" w:id="0">
    <w:p w:rsidR="00D53830" w:rsidRDefault="00D53830" w:rsidP="0059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0" w:rsidRPr="00F400B7" w:rsidRDefault="00D53830" w:rsidP="00596272">
    <w:pPr>
      <w:pStyle w:val="Footer"/>
      <w:pBdr>
        <w:top w:val="single" w:sz="4" w:space="0" w:color="auto"/>
      </w:pBdr>
      <w:tabs>
        <w:tab w:val="clear" w:pos="4536"/>
        <w:tab w:val="clear" w:pos="9072"/>
        <w:tab w:val="right" w:pos="10093"/>
      </w:tabs>
      <w:rPr>
        <w:rFonts w:ascii="Cambria" w:hAnsi="Cambria"/>
        <w:sz w:val="16"/>
        <w:szCs w:val="16"/>
      </w:rPr>
    </w:pPr>
    <w:r w:rsidRPr="00F400B7">
      <w:rPr>
        <w:rFonts w:ascii="Cambria" w:hAnsi="Cambria"/>
        <w:sz w:val="16"/>
        <w:szCs w:val="16"/>
      </w:rPr>
      <w:t xml:space="preserve">SIWZ – Ubezpieczenie majątku i odpowiedzialności cywilnej </w:t>
    </w:r>
    <w:r>
      <w:rPr>
        <w:rFonts w:ascii="Cambria" w:hAnsi="Cambria"/>
        <w:sz w:val="16"/>
        <w:szCs w:val="16"/>
      </w:rPr>
      <w:t>………………………….</w:t>
    </w:r>
    <w:r w:rsidRPr="00F400B7">
      <w:rPr>
        <w:rFonts w:ascii="Cambria" w:hAnsi="Cambria"/>
        <w:sz w:val="16"/>
        <w:szCs w:val="16"/>
      </w:rPr>
      <w:tab/>
      <w:t xml:space="preserve">Strona </w:t>
    </w:r>
    <w:r w:rsidRPr="00F400B7">
      <w:rPr>
        <w:sz w:val="16"/>
        <w:szCs w:val="16"/>
      </w:rPr>
      <w:fldChar w:fldCharType="begin"/>
    </w:r>
    <w:r w:rsidRPr="00F400B7">
      <w:rPr>
        <w:sz w:val="16"/>
        <w:szCs w:val="16"/>
      </w:rPr>
      <w:instrText>PAGE   \* MERGEFORMAT</w:instrText>
    </w:r>
    <w:r w:rsidRPr="00F400B7">
      <w:rPr>
        <w:sz w:val="16"/>
        <w:szCs w:val="16"/>
      </w:rPr>
      <w:fldChar w:fldCharType="separate"/>
    </w:r>
    <w:r w:rsidRPr="004D5EE8">
      <w:rPr>
        <w:rFonts w:ascii="Cambria" w:hAnsi="Cambria"/>
        <w:noProof/>
        <w:sz w:val="16"/>
        <w:szCs w:val="16"/>
      </w:rPr>
      <w:t>1</w:t>
    </w:r>
    <w:r w:rsidRPr="00F400B7">
      <w:rPr>
        <w:sz w:val="16"/>
        <w:szCs w:val="16"/>
      </w:rPr>
      <w:fldChar w:fldCharType="end"/>
    </w:r>
  </w:p>
  <w:p w:rsidR="00D53830" w:rsidRDefault="00D53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30" w:rsidRDefault="00D53830" w:rsidP="00596272">
      <w:r>
        <w:separator/>
      </w:r>
    </w:p>
  </w:footnote>
  <w:footnote w:type="continuationSeparator" w:id="0">
    <w:p w:rsidR="00D53830" w:rsidRDefault="00D53830" w:rsidP="0059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0" w:rsidRPr="00CB4431" w:rsidRDefault="00D53830" w:rsidP="00596272">
    <w:pPr>
      <w:pStyle w:val="Header"/>
      <w:rPr>
        <w:rFonts w:ascii="Calibri" w:hAnsi="Calibri"/>
      </w:rPr>
    </w:pPr>
    <w:r w:rsidRPr="00CB4431">
      <w:rPr>
        <w:rFonts w:ascii="Calibri" w:hAnsi="Calibri"/>
      </w:rPr>
      <w:t>Znak</w:t>
    </w:r>
    <w:r>
      <w:rPr>
        <w:rFonts w:ascii="Calibri" w:hAnsi="Calibri"/>
      </w:rPr>
      <w:t xml:space="preserve"> Zamawiającego WPF.271.4.2016.POS</w:t>
    </w:r>
  </w:p>
  <w:p w:rsidR="00D53830" w:rsidRDefault="00D538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B6E2828C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959F2"/>
    <w:multiLevelType w:val="hybridMultilevel"/>
    <w:tmpl w:val="AF24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619D0"/>
    <w:multiLevelType w:val="multilevel"/>
    <w:tmpl w:val="06A0854E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272"/>
    <w:rsid w:val="00031BEE"/>
    <w:rsid w:val="00106996"/>
    <w:rsid w:val="00131AB8"/>
    <w:rsid w:val="00173FC7"/>
    <w:rsid w:val="00227D90"/>
    <w:rsid w:val="002E6776"/>
    <w:rsid w:val="003028DD"/>
    <w:rsid w:val="00325697"/>
    <w:rsid w:val="003528F5"/>
    <w:rsid w:val="004A0A25"/>
    <w:rsid w:val="004D5EE8"/>
    <w:rsid w:val="00596272"/>
    <w:rsid w:val="00656023"/>
    <w:rsid w:val="00670EEF"/>
    <w:rsid w:val="006F5585"/>
    <w:rsid w:val="00803042"/>
    <w:rsid w:val="008F22FB"/>
    <w:rsid w:val="009919F2"/>
    <w:rsid w:val="00AA2B9A"/>
    <w:rsid w:val="00C03718"/>
    <w:rsid w:val="00C903AD"/>
    <w:rsid w:val="00CB4431"/>
    <w:rsid w:val="00D2180C"/>
    <w:rsid w:val="00D25286"/>
    <w:rsid w:val="00D53830"/>
    <w:rsid w:val="00EE29DB"/>
    <w:rsid w:val="00F334CE"/>
    <w:rsid w:val="00F400B7"/>
    <w:rsid w:val="00F45065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34C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4CE"/>
    <w:rPr>
      <w:rFonts w:ascii="Arial" w:hAnsi="Arial" w:cs="Times New Roman"/>
      <w:b/>
      <w:sz w:val="20"/>
      <w:szCs w:val="20"/>
      <w:u w:val="single"/>
      <w:lang w:eastAsia="pl-PL"/>
    </w:rPr>
  </w:style>
  <w:style w:type="paragraph" w:styleId="Header">
    <w:name w:val="header"/>
    <w:basedOn w:val="Normal"/>
    <w:link w:val="HeaderChar"/>
    <w:uiPriority w:val="99"/>
    <w:rsid w:val="005962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27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5962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627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32569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256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Kr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984</Words>
  <Characters>5906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Sobolewski</dc:creator>
  <cp:keywords/>
  <dc:description/>
  <cp:lastModifiedBy>p.ostrowska</cp:lastModifiedBy>
  <cp:revision>17</cp:revision>
  <dcterms:created xsi:type="dcterms:W3CDTF">2016-08-31T08:12:00Z</dcterms:created>
  <dcterms:modified xsi:type="dcterms:W3CDTF">2016-10-11T14:44:00Z</dcterms:modified>
</cp:coreProperties>
</file>