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9B" w:rsidRPr="00227D90" w:rsidRDefault="007D589B" w:rsidP="00D016AC">
      <w:pPr>
        <w:pStyle w:val="Heading1"/>
        <w:keepNext/>
        <w:pBdr>
          <w:top w:val="single" w:sz="4" w:space="1" w:color="auto"/>
          <w:bottom w:val="single" w:sz="4" w:space="1" w:color="auto"/>
        </w:pBdr>
        <w:shd w:val="clear" w:color="auto" w:fill="F3F3F3"/>
        <w:tabs>
          <w:tab w:val="num" w:pos="0"/>
          <w:tab w:val="left" w:pos="390"/>
        </w:tabs>
        <w:suppressAutoHyphens/>
        <w:spacing w:before="0"/>
        <w:jc w:val="center"/>
        <w:rPr>
          <w:rFonts w:ascii="Calibri" w:hAnsi="Calibri"/>
          <w:bCs/>
          <w:sz w:val="28"/>
          <w:szCs w:val="28"/>
          <w:u w:val="none"/>
          <w:lang w:eastAsia="ar-SA"/>
        </w:rPr>
      </w:pPr>
      <w:r w:rsidRPr="00227D90">
        <w:rPr>
          <w:rFonts w:ascii="Calibri" w:hAnsi="Calibri"/>
          <w:bCs/>
          <w:sz w:val="28"/>
          <w:szCs w:val="28"/>
          <w:u w:val="none"/>
          <w:lang w:eastAsia="ar-SA"/>
        </w:rPr>
        <w:t>Załącznik nr 2 Treść klauzul i warunków wymaganych (obligatoryjnych)</w:t>
      </w:r>
    </w:p>
    <w:p w:rsidR="007D589B" w:rsidRPr="00227D90" w:rsidRDefault="007D589B" w:rsidP="00D016AC">
      <w:pPr>
        <w:pStyle w:val="Heading2"/>
        <w:ind w:left="284" w:hanging="284"/>
        <w:rPr>
          <w:rFonts w:ascii="Calibri" w:hAnsi="Calibri"/>
          <w:sz w:val="22"/>
          <w:szCs w:val="22"/>
        </w:rPr>
      </w:pPr>
    </w:p>
    <w:p w:rsidR="007D589B" w:rsidRPr="00227D90" w:rsidRDefault="007D589B" w:rsidP="00100E3B">
      <w:pPr>
        <w:numPr>
          <w:ilvl w:val="0"/>
          <w:numId w:val="2"/>
        </w:numPr>
        <w:suppressAutoHyphens/>
        <w:jc w:val="both"/>
        <w:rPr>
          <w:rFonts w:ascii="Calibri" w:hAnsi="Calibri"/>
          <w:sz w:val="22"/>
          <w:szCs w:val="22"/>
        </w:rPr>
      </w:pPr>
      <w:r w:rsidRPr="00227D90">
        <w:rPr>
          <w:rFonts w:ascii="Calibri" w:hAnsi="Calibri"/>
          <w:b/>
          <w:sz w:val="22"/>
          <w:szCs w:val="22"/>
        </w:rPr>
        <w:t xml:space="preserve">Klauzula przepięciowa </w:t>
      </w:r>
      <w:r w:rsidRPr="00227D90">
        <w:rPr>
          <w:rFonts w:ascii="Calibri" w:hAnsi="Calibri"/>
          <w:sz w:val="22"/>
          <w:szCs w:val="22"/>
        </w:rPr>
        <w:t>– Z zachowaniem pozostałych, nie zmienionych niniejszą klauzulą, postanowień umowy ubezpieczenia określonych w SIWZ i ogólnych warunkach ubezpieczenia strony uzgodniły, że:</w:t>
      </w:r>
    </w:p>
    <w:p w:rsidR="007D589B" w:rsidRPr="00227D90" w:rsidRDefault="007D589B" w:rsidP="00100E3B">
      <w:pPr>
        <w:suppressAutoHyphens/>
        <w:ind w:left="794"/>
        <w:jc w:val="both"/>
        <w:rPr>
          <w:rFonts w:ascii="Calibri" w:hAnsi="Calibri"/>
          <w:sz w:val="22"/>
          <w:szCs w:val="22"/>
        </w:rPr>
      </w:pPr>
      <w:r w:rsidRPr="00227D90">
        <w:rPr>
          <w:rFonts w:ascii="Calibri" w:hAnsi="Calibri"/>
          <w:sz w:val="22"/>
          <w:szCs w:val="22"/>
        </w:rPr>
        <w:t xml:space="preserve">szkody spowodowane działaniem prądu elektrycznego, w tym również powstałe w czasie wyładowań atmosferycznych na skutek przepięcia lub wzbudzania się niszczących sił elektromagnetycznych w obwodach elektrycznych odbiorników – limit </w:t>
      </w:r>
      <w:r w:rsidRPr="00227D90">
        <w:rPr>
          <w:rFonts w:ascii="Calibri" w:hAnsi="Calibri"/>
          <w:b/>
          <w:sz w:val="22"/>
          <w:szCs w:val="22"/>
        </w:rPr>
        <w:t xml:space="preserve">200.000 </w:t>
      </w:r>
      <w:r>
        <w:rPr>
          <w:rFonts w:ascii="Calibri" w:hAnsi="Calibri"/>
          <w:b/>
          <w:sz w:val="22"/>
          <w:szCs w:val="22"/>
        </w:rPr>
        <w:t>ZŁ</w:t>
      </w:r>
      <w:r>
        <w:rPr>
          <w:rFonts w:ascii="Calibri" w:hAnsi="Calibri"/>
          <w:sz w:val="22"/>
          <w:szCs w:val="22"/>
        </w:rPr>
        <w:t xml:space="preserve"> na jedno i wszystkie zdarzenia</w:t>
      </w:r>
    </w:p>
    <w:p w:rsidR="007D589B" w:rsidRPr="00227D90" w:rsidRDefault="007D589B" w:rsidP="00D016AC">
      <w:pPr>
        <w:numPr>
          <w:ilvl w:val="0"/>
          <w:numId w:val="2"/>
        </w:numPr>
        <w:suppressAutoHyphens/>
        <w:jc w:val="both"/>
        <w:rPr>
          <w:rFonts w:ascii="Calibri" w:hAnsi="Calibri"/>
          <w:sz w:val="22"/>
          <w:szCs w:val="22"/>
        </w:rPr>
      </w:pPr>
      <w:r w:rsidRPr="00227D90">
        <w:rPr>
          <w:rFonts w:ascii="Calibri" w:hAnsi="Calibri"/>
          <w:b/>
          <w:sz w:val="22"/>
          <w:szCs w:val="22"/>
        </w:rPr>
        <w:t xml:space="preserve">Klauzula rażącego niedbalstwa </w:t>
      </w:r>
      <w:r w:rsidRPr="00227D90">
        <w:rPr>
          <w:rFonts w:ascii="Calibri" w:hAnsi="Calibri"/>
          <w:sz w:val="22"/>
          <w:szCs w:val="22"/>
        </w:rPr>
        <w:t>- 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94"/>
        <w:jc w:val="both"/>
        <w:rPr>
          <w:rFonts w:ascii="Calibri" w:hAnsi="Calibri"/>
          <w:sz w:val="22"/>
          <w:szCs w:val="22"/>
        </w:rPr>
      </w:pPr>
      <w:r w:rsidRPr="00227D90">
        <w:rPr>
          <w:rFonts w:ascii="Calibri" w:hAnsi="Calibri"/>
          <w:sz w:val="22"/>
          <w:szCs w:val="22"/>
        </w:rPr>
        <w:t>odpowiedzialność ubezpieczyciela obejmie szkody powstałe wskutek rażącego niedbalstwa Ubezpieczającego oraz osób, za które Ubezpieczający ponosi odpowiedzialność.</w:t>
      </w:r>
    </w:p>
    <w:p w:rsidR="007D589B" w:rsidRPr="00227D90" w:rsidRDefault="007D589B" w:rsidP="00D016AC">
      <w:pPr>
        <w:numPr>
          <w:ilvl w:val="0"/>
          <w:numId w:val="2"/>
        </w:numPr>
        <w:suppressAutoHyphens/>
        <w:jc w:val="both"/>
        <w:rPr>
          <w:rFonts w:ascii="Calibri" w:hAnsi="Calibri"/>
          <w:sz w:val="22"/>
          <w:szCs w:val="22"/>
        </w:rPr>
      </w:pPr>
      <w:r w:rsidRPr="00227D90">
        <w:rPr>
          <w:rFonts w:ascii="Calibri" w:hAnsi="Calibri"/>
          <w:b/>
          <w:bCs/>
          <w:sz w:val="22"/>
          <w:szCs w:val="22"/>
        </w:rPr>
        <w:t xml:space="preserve">Klauzula regresowa - </w:t>
      </w:r>
      <w:r w:rsidRPr="00227D90">
        <w:rPr>
          <w:rFonts w:ascii="Calibri" w:hAnsi="Calibri"/>
          <w:sz w:val="22"/>
          <w:szCs w:val="22"/>
        </w:rPr>
        <w:t>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94"/>
        <w:jc w:val="both"/>
        <w:rPr>
          <w:rFonts w:ascii="Calibri" w:hAnsi="Calibri"/>
          <w:sz w:val="22"/>
          <w:szCs w:val="22"/>
        </w:rPr>
      </w:pPr>
      <w:r w:rsidRPr="00227D90">
        <w:rPr>
          <w:rFonts w:ascii="Calibri" w:hAnsi="Calibri"/>
          <w:sz w:val="22"/>
          <w:szCs w:val="22"/>
        </w:rPr>
        <w:t>nie przechodzą na Ubezpieczyciela roszczenia Ubezpieczającego przeciwko:</w:t>
      </w:r>
    </w:p>
    <w:p w:rsidR="007D589B" w:rsidRPr="00227D90" w:rsidRDefault="007D589B" w:rsidP="00D016AC">
      <w:pPr>
        <w:numPr>
          <w:ilvl w:val="0"/>
          <w:numId w:val="1"/>
        </w:numPr>
        <w:jc w:val="both"/>
        <w:rPr>
          <w:rFonts w:ascii="Calibri" w:hAnsi="Calibri"/>
          <w:sz w:val="22"/>
          <w:szCs w:val="22"/>
        </w:rPr>
      </w:pPr>
      <w:r w:rsidRPr="00227D90">
        <w:rPr>
          <w:rFonts w:ascii="Calibri" w:hAnsi="Calibri"/>
          <w:sz w:val="22"/>
          <w:szCs w:val="22"/>
        </w:rPr>
        <w:t>osobom fizycznym świadczącym pracę lub usługę na rzecz Ubezpieczającego,</w:t>
      </w:r>
    </w:p>
    <w:p w:rsidR="007D589B" w:rsidRPr="00227D90" w:rsidRDefault="007D589B" w:rsidP="00D016AC">
      <w:pPr>
        <w:numPr>
          <w:ilvl w:val="0"/>
          <w:numId w:val="1"/>
        </w:numPr>
        <w:jc w:val="both"/>
        <w:rPr>
          <w:rFonts w:ascii="Calibri" w:hAnsi="Calibri"/>
          <w:sz w:val="22"/>
          <w:szCs w:val="22"/>
        </w:rPr>
      </w:pPr>
      <w:r w:rsidRPr="00227D90">
        <w:rPr>
          <w:rFonts w:ascii="Calibri" w:hAnsi="Calibri"/>
          <w:sz w:val="22"/>
          <w:szCs w:val="22"/>
        </w:rPr>
        <w:t xml:space="preserve">osobom fizycznym prowadzącym działalność gospodarczą wyłącznie na rzecz Ubezpieczającego, </w:t>
      </w:r>
    </w:p>
    <w:p w:rsidR="007D589B" w:rsidRPr="00227D90" w:rsidRDefault="007D589B" w:rsidP="00D016AC">
      <w:pPr>
        <w:numPr>
          <w:ilvl w:val="0"/>
          <w:numId w:val="1"/>
        </w:numPr>
        <w:jc w:val="both"/>
        <w:rPr>
          <w:rFonts w:ascii="Calibri" w:hAnsi="Calibri"/>
          <w:sz w:val="22"/>
          <w:szCs w:val="22"/>
        </w:rPr>
      </w:pPr>
      <w:r w:rsidRPr="00227D90">
        <w:rPr>
          <w:rFonts w:ascii="Calibri" w:hAnsi="Calibri"/>
          <w:sz w:val="22"/>
          <w:szCs w:val="22"/>
        </w:rPr>
        <w:t xml:space="preserve">osobom fizycznym, z którymi Ubezpieczający pozostaje we wspólnym gospodarstwie domowym, </w:t>
      </w:r>
    </w:p>
    <w:p w:rsidR="007D589B" w:rsidRPr="00227D90" w:rsidRDefault="007D589B" w:rsidP="00D016AC">
      <w:pPr>
        <w:ind w:firstLine="708"/>
        <w:jc w:val="both"/>
        <w:rPr>
          <w:rFonts w:ascii="Calibri" w:hAnsi="Calibri"/>
          <w:sz w:val="22"/>
          <w:szCs w:val="22"/>
        </w:rPr>
      </w:pPr>
      <w:r w:rsidRPr="00227D90">
        <w:rPr>
          <w:rFonts w:ascii="Calibri" w:hAnsi="Calibri"/>
          <w:sz w:val="22"/>
          <w:szCs w:val="22"/>
        </w:rPr>
        <w:t>chyba że sprawca wyrządził szkodę umyślnie.</w:t>
      </w:r>
    </w:p>
    <w:p w:rsidR="007D589B" w:rsidRPr="00227D90" w:rsidRDefault="007D589B" w:rsidP="00D016AC">
      <w:pPr>
        <w:numPr>
          <w:ilvl w:val="0"/>
          <w:numId w:val="2"/>
        </w:numPr>
        <w:suppressAutoHyphens/>
        <w:jc w:val="both"/>
        <w:rPr>
          <w:rFonts w:ascii="Calibri" w:hAnsi="Calibri"/>
          <w:sz w:val="22"/>
          <w:szCs w:val="22"/>
        </w:rPr>
      </w:pPr>
      <w:r w:rsidRPr="00227D90">
        <w:rPr>
          <w:rFonts w:ascii="Calibri" w:hAnsi="Calibri"/>
          <w:b/>
          <w:sz w:val="22"/>
          <w:szCs w:val="22"/>
        </w:rPr>
        <w:t>Klauzula aktualności ochrony ubezpieczeniowej</w:t>
      </w:r>
      <w:r w:rsidRPr="00227D90">
        <w:rPr>
          <w:rFonts w:ascii="Calibri" w:hAnsi="Calibri"/>
          <w:sz w:val="22"/>
          <w:szCs w:val="22"/>
        </w:rPr>
        <w:t xml:space="preserve"> – 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20" w:hanging="360"/>
        <w:jc w:val="both"/>
        <w:rPr>
          <w:rFonts w:ascii="Calibri" w:hAnsi="Calibri"/>
          <w:sz w:val="22"/>
          <w:szCs w:val="22"/>
        </w:rPr>
      </w:pPr>
      <w:r w:rsidRPr="00227D90">
        <w:rPr>
          <w:rFonts w:ascii="Calibri" w:hAnsi="Calibri"/>
          <w:sz w:val="22"/>
          <w:szCs w:val="22"/>
        </w:rPr>
        <w:t>-    w przypadku nieopłacenia w terminie składki lub raty składki ubezpieczeniowej ochrona ubezpieczeniowa nie wygasa, chyba, że zaległa składka lub rata nie zostanie opłacona w ciągu 14 dni po upływie terminu jej zapłaty; w takim przypadku ubezpieczyciel zobowiązany jest do poinformowania ubezpieczającego lub brokera o zaległości w płatności składki.</w:t>
      </w:r>
    </w:p>
    <w:p w:rsidR="007D589B" w:rsidRPr="00227D90" w:rsidRDefault="007D589B" w:rsidP="00D016AC">
      <w:pPr>
        <w:numPr>
          <w:ilvl w:val="0"/>
          <w:numId w:val="2"/>
        </w:numPr>
        <w:suppressAutoHyphens/>
        <w:jc w:val="both"/>
        <w:rPr>
          <w:rFonts w:ascii="Calibri" w:hAnsi="Calibri"/>
          <w:sz w:val="22"/>
          <w:szCs w:val="22"/>
        </w:rPr>
      </w:pPr>
      <w:r w:rsidRPr="00227D90">
        <w:rPr>
          <w:rFonts w:ascii="Calibri" w:hAnsi="Calibri"/>
          <w:b/>
          <w:sz w:val="22"/>
          <w:szCs w:val="22"/>
        </w:rPr>
        <w:t>Termin powiadomienia ubezpieczyciela o szkodzie</w:t>
      </w:r>
      <w:r w:rsidRPr="00227D90">
        <w:rPr>
          <w:rFonts w:ascii="Calibri" w:hAnsi="Calibri"/>
          <w:sz w:val="22"/>
          <w:szCs w:val="22"/>
        </w:rPr>
        <w:t xml:space="preserve"> – 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94"/>
        <w:jc w:val="both"/>
        <w:rPr>
          <w:rFonts w:ascii="Calibri" w:hAnsi="Calibri"/>
          <w:sz w:val="22"/>
          <w:szCs w:val="22"/>
        </w:rPr>
      </w:pPr>
      <w:r w:rsidRPr="00227D90">
        <w:rPr>
          <w:rFonts w:ascii="Calibri" w:hAnsi="Calibri"/>
          <w:sz w:val="22"/>
          <w:szCs w:val="22"/>
        </w:rPr>
        <w:t xml:space="preserve">Termin zgłoszenia szkody w rozumieniu art. 818 ust. § 1 kc to 7 dni od daty powstania szkody </w:t>
      </w:r>
      <w:r w:rsidRPr="00227D90">
        <w:rPr>
          <w:rFonts w:ascii="Calibri" w:hAnsi="Calibri"/>
          <w:sz w:val="22"/>
          <w:szCs w:val="22"/>
        </w:rPr>
        <w:br/>
        <w:t>lub uzyskania o niej wiadomości.</w:t>
      </w:r>
    </w:p>
    <w:p w:rsidR="007D589B" w:rsidRPr="00227D90" w:rsidRDefault="007D589B" w:rsidP="00D016AC">
      <w:pPr>
        <w:numPr>
          <w:ilvl w:val="0"/>
          <w:numId w:val="2"/>
        </w:numPr>
        <w:suppressAutoHyphens/>
        <w:jc w:val="both"/>
        <w:rPr>
          <w:rFonts w:ascii="Calibri" w:hAnsi="Calibri"/>
          <w:color w:val="000000"/>
          <w:sz w:val="22"/>
          <w:szCs w:val="22"/>
        </w:rPr>
      </w:pPr>
      <w:r w:rsidRPr="00227D90">
        <w:rPr>
          <w:rFonts w:ascii="Calibri" w:hAnsi="Calibri"/>
          <w:b/>
          <w:color w:val="000000"/>
          <w:sz w:val="22"/>
          <w:szCs w:val="22"/>
        </w:rPr>
        <w:t xml:space="preserve">Klauzula stempla bankowego </w:t>
      </w:r>
      <w:r w:rsidRPr="00227D90">
        <w:rPr>
          <w:rFonts w:ascii="Calibri" w:hAnsi="Calibri"/>
          <w:color w:val="000000"/>
          <w:sz w:val="22"/>
          <w:szCs w:val="22"/>
        </w:rPr>
        <w:t xml:space="preserve">– </w:t>
      </w:r>
      <w:r w:rsidRPr="00227D90">
        <w:rPr>
          <w:rFonts w:ascii="Calibri" w:hAnsi="Calibri"/>
          <w:sz w:val="22"/>
          <w:szCs w:val="22"/>
        </w:rPr>
        <w:t>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94"/>
        <w:jc w:val="both"/>
        <w:rPr>
          <w:rFonts w:ascii="Calibri" w:hAnsi="Calibri"/>
          <w:color w:val="000000"/>
          <w:sz w:val="22"/>
          <w:szCs w:val="22"/>
        </w:rPr>
      </w:pPr>
      <w:r w:rsidRPr="00227D90">
        <w:rPr>
          <w:rFonts w:ascii="Calibri" w:hAnsi="Calibri"/>
          <w:color w:val="000000"/>
          <w:sz w:val="22"/>
          <w:szCs w:val="22"/>
        </w:rPr>
        <w:t>za datę wpłaty składki lub jej raty uważa się datę stempla bankowego na przelewie złożonym przez Ubezpieczającego, pod warunkiem wystarczającej liczby środków na rachunku.</w:t>
      </w:r>
    </w:p>
    <w:p w:rsidR="007D589B" w:rsidRPr="00227D90" w:rsidRDefault="007D589B" w:rsidP="00D016AC">
      <w:pPr>
        <w:numPr>
          <w:ilvl w:val="0"/>
          <w:numId w:val="2"/>
        </w:numPr>
        <w:suppressAutoHyphens/>
        <w:jc w:val="both"/>
        <w:rPr>
          <w:rFonts w:ascii="Calibri" w:hAnsi="Calibri"/>
          <w:sz w:val="22"/>
          <w:szCs w:val="22"/>
        </w:rPr>
      </w:pPr>
      <w:r w:rsidRPr="00227D90">
        <w:rPr>
          <w:rFonts w:ascii="Calibri" w:hAnsi="Calibri"/>
          <w:b/>
          <w:sz w:val="22"/>
          <w:szCs w:val="22"/>
        </w:rPr>
        <w:t xml:space="preserve">Klauzula terminu dokonania oględzin </w:t>
      </w:r>
      <w:r w:rsidRPr="00227D90">
        <w:rPr>
          <w:rFonts w:ascii="Calibri" w:hAnsi="Calibri"/>
          <w:sz w:val="22"/>
          <w:szCs w:val="22"/>
        </w:rPr>
        <w:t>- 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94"/>
        <w:jc w:val="both"/>
        <w:rPr>
          <w:rFonts w:ascii="Calibri" w:hAnsi="Calibri"/>
          <w:sz w:val="22"/>
          <w:szCs w:val="22"/>
        </w:rPr>
      </w:pPr>
      <w:r w:rsidRPr="00227D90">
        <w:rPr>
          <w:rFonts w:ascii="Calibri" w:hAnsi="Calibri"/>
          <w:sz w:val="22"/>
          <w:szCs w:val="22"/>
        </w:rPr>
        <w:t xml:space="preserve">w przypadku szkody ubezpieczyciel zobowiązany jest do dokonania oględzin przedmiotu szkody niezwłocznie, w terminie nie dłuższym niż dwa dni </w:t>
      </w:r>
      <w:r>
        <w:rPr>
          <w:rFonts w:ascii="Calibri" w:hAnsi="Calibri"/>
          <w:sz w:val="22"/>
          <w:szCs w:val="22"/>
        </w:rPr>
        <w:t xml:space="preserve">robocze </w:t>
      </w:r>
      <w:r w:rsidRPr="00227D90">
        <w:rPr>
          <w:rFonts w:ascii="Calibri" w:hAnsi="Calibri"/>
          <w:sz w:val="22"/>
          <w:szCs w:val="22"/>
        </w:rPr>
        <w:t>od daty zgłoszenia szkody.</w:t>
      </w:r>
      <w:r>
        <w:rPr>
          <w:rFonts w:ascii="Calibri" w:hAnsi="Calibri"/>
          <w:sz w:val="22"/>
          <w:szCs w:val="22"/>
        </w:rPr>
        <w:t xml:space="preserve"> Po bezskutecznym upływie tego terminu, ubezpieczający przystąpi do uprzątnięcia miejsca szkody i przedmiotu szkody i naprawiania szkody; zabezpieczając jednak dokumentację fotograficzną miejsca i przedmiotu szkody dla ubezpieczyciela.</w:t>
      </w:r>
    </w:p>
    <w:p w:rsidR="007D589B" w:rsidRPr="00227D90" w:rsidRDefault="007D589B" w:rsidP="00D016AC">
      <w:pPr>
        <w:numPr>
          <w:ilvl w:val="0"/>
          <w:numId w:val="2"/>
        </w:numPr>
        <w:suppressAutoHyphens/>
        <w:jc w:val="both"/>
        <w:rPr>
          <w:rFonts w:ascii="Calibri" w:hAnsi="Calibri"/>
          <w:sz w:val="22"/>
          <w:szCs w:val="22"/>
        </w:rPr>
      </w:pPr>
      <w:r w:rsidRPr="00227D90">
        <w:rPr>
          <w:rFonts w:ascii="Calibri" w:hAnsi="Calibri"/>
          <w:b/>
          <w:sz w:val="22"/>
          <w:szCs w:val="22"/>
        </w:rPr>
        <w:t>Klauzula płatności niewymagalnych rat –</w:t>
      </w:r>
      <w:r w:rsidRPr="00227D90">
        <w:rPr>
          <w:rFonts w:ascii="Calibri" w:hAnsi="Calibri"/>
          <w:sz w:val="22"/>
          <w:szCs w:val="22"/>
        </w:rPr>
        <w:t xml:space="preserve"> 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94"/>
        <w:jc w:val="both"/>
        <w:rPr>
          <w:rFonts w:ascii="Calibri" w:hAnsi="Calibri"/>
          <w:sz w:val="22"/>
          <w:szCs w:val="22"/>
        </w:rPr>
      </w:pPr>
      <w:r w:rsidRPr="00227D90">
        <w:rPr>
          <w:rFonts w:ascii="Calibri" w:hAnsi="Calibri"/>
          <w:sz w:val="22"/>
          <w:szCs w:val="22"/>
        </w:rPr>
        <w:t>Ubezpieczyciel nie będzie potrącał z kwoty odszkodowania rat, których termin płatności jeszcze nie minął.</w:t>
      </w:r>
    </w:p>
    <w:p w:rsidR="007D589B" w:rsidRPr="00227D90" w:rsidRDefault="007D589B" w:rsidP="00D016AC">
      <w:pPr>
        <w:numPr>
          <w:ilvl w:val="0"/>
          <w:numId w:val="2"/>
        </w:numPr>
        <w:suppressAutoHyphens/>
        <w:jc w:val="both"/>
        <w:rPr>
          <w:rFonts w:ascii="Calibri" w:hAnsi="Calibri"/>
          <w:sz w:val="22"/>
          <w:szCs w:val="22"/>
        </w:rPr>
      </w:pPr>
      <w:r w:rsidRPr="00227D90">
        <w:rPr>
          <w:rFonts w:ascii="Calibri" w:hAnsi="Calibri"/>
          <w:b/>
          <w:sz w:val="22"/>
          <w:szCs w:val="22"/>
        </w:rPr>
        <w:t>Klauzula automatycznego doubezpieczenia</w:t>
      </w:r>
      <w:r w:rsidRPr="00227D90">
        <w:rPr>
          <w:rFonts w:ascii="Calibri" w:hAnsi="Calibri"/>
          <w:sz w:val="22"/>
          <w:szCs w:val="22"/>
        </w:rPr>
        <w:t xml:space="preserve"> - 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94"/>
        <w:jc w:val="both"/>
        <w:rPr>
          <w:rFonts w:ascii="Calibri" w:hAnsi="Calibri"/>
          <w:sz w:val="22"/>
          <w:szCs w:val="22"/>
        </w:rPr>
      </w:pPr>
      <w:r w:rsidRPr="00227D90">
        <w:rPr>
          <w:rFonts w:ascii="Calibri" w:hAnsi="Calibri"/>
          <w:sz w:val="22"/>
          <w:szCs w:val="22"/>
        </w:rPr>
        <w:t xml:space="preserve">po zaistnieniu zdarzenia, na skutek którego do ubezpieczyciela zostaje skierowane roszczenie o wypłatę odszkodowania, suma ubezpieczenia ulega automatycznemu odnowieniu bez konieczności pisemnego wniosku ze strony Ubezpieczającego. Limit ten jest automatycznie przywrócony pod warunkiem opłacenia składki proporcjonalnie do okresu udzielonej ochrony ubezpieczeniowej na pisemne wezwanie ubezpieczyciela. Automatyczne doubezpieczenie dotyczy </w:t>
      </w:r>
      <w:r>
        <w:rPr>
          <w:rFonts w:ascii="Calibri" w:hAnsi="Calibri"/>
          <w:sz w:val="22"/>
          <w:szCs w:val="22"/>
        </w:rPr>
        <w:t xml:space="preserve">wszystkich sum ubezpieczenia i systemów ubezpieczenia łącznie z  </w:t>
      </w:r>
      <w:r w:rsidRPr="00227D90">
        <w:rPr>
          <w:rFonts w:ascii="Calibri" w:hAnsi="Calibri"/>
          <w:sz w:val="22"/>
          <w:szCs w:val="22"/>
        </w:rPr>
        <w:t>limit</w:t>
      </w:r>
      <w:r>
        <w:rPr>
          <w:rFonts w:ascii="Calibri" w:hAnsi="Calibri"/>
          <w:sz w:val="22"/>
          <w:szCs w:val="22"/>
        </w:rPr>
        <w:t>ami</w:t>
      </w:r>
      <w:r w:rsidRPr="00227D90">
        <w:rPr>
          <w:rFonts w:ascii="Calibri" w:hAnsi="Calibri"/>
          <w:sz w:val="22"/>
          <w:szCs w:val="22"/>
        </w:rPr>
        <w:t xml:space="preserve"> na pierwsze ryzyko.</w:t>
      </w:r>
    </w:p>
    <w:p w:rsidR="007D589B" w:rsidRPr="00227D90" w:rsidRDefault="007D589B" w:rsidP="00D016AC">
      <w:pPr>
        <w:numPr>
          <w:ilvl w:val="0"/>
          <w:numId w:val="2"/>
        </w:numPr>
        <w:suppressAutoHyphens/>
        <w:jc w:val="both"/>
        <w:rPr>
          <w:rFonts w:ascii="Calibri" w:hAnsi="Calibri"/>
          <w:sz w:val="22"/>
          <w:szCs w:val="22"/>
        </w:rPr>
      </w:pPr>
      <w:r w:rsidRPr="00227D90">
        <w:rPr>
          <w:rFonts w:ascii="Calibri" w:hAnsi="Calibri"/>
          <w:b/>
          <w:sz w:val="22"/>
          <w:szCs w:val="22"/>
        </w:rPr>
        <w:t xml:space="preserve">Klauzula proporcjonalnej płatności składki - </w:t>
      </w:r>
      <w:r w:rsidRPr="00227D90">
        <w:rPr>
          <w:rFonts w:ascii="Calibri" w:hAnsi="Calibri"/>
          <w:sz w:val="22"/>
          <w:szCs w:val="22"/>
        </w:rPr>
        <w:t>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94"/>
        <w:jc w:val="both"/>
        <w:rPr>
          <w:rFonts w:ascii="Calibri" w:hAnsi="Calibri"/>
          <w:sz w:val="22"/>
          <w:szCs w:val="22"/>
        </w:rPr>
      </w:pPr>
      <w:r w:rsidRPr="00227D90">
        <w:rPr>
          <w:rFonts w:ascii="Calibri" w:hAnsi="Calibri"/>
          <w:sz w:val="22"/>
          <w:szCs w:val="22"/>
        </w:rPr>
        <w:t>w przypadku doubezpieczeń lub ubezpieczeń krótkoterminowych na warunkach niniejszej umowy ubezpieczenia (także w ramach klauzuli automatycznego pokrycia), Ubezpieczyciel będzie pobierał składkę proporcjonalnie do okresu udzielanej ochrony, zgodnie z zasadą: liczba dni x stawka / 365 dni. Nie będzie miała także zastosowania składka minimalna.</w:t>
      </w:r>
    </w:p>
    <w:p w:rsidR="007D589B" w:rsidRPr="00227D90" w:rsidRDefault="007D589B" w:rsidP="00D016AC">
      <w:pPr>
        <w:numPr>
          <w:ilvl w:val="0"/>
          <w:numId w:val="2"/>
        </w:numPr>
        <w:suppressAutoHyphens/>
        <w:jc w:val="both"/>
        <w:rPr>
          <w:rFonts w:ascii="Calibri" w:hAnsi="Calibri"/>
          <w:sz w:val="22"/>
          <w:szCs w:val="22"/>
        </w:rPr>
      </w:pPr>
      <w:r w:rsidRPr="00227D90">
        <w:rPr>
          <w:rFonts w:ascii="Calibri" w:hAnsi="Calibri"/>
          <w:b/>
          <w:sz w:val="22"/>
          <w:szCs w:val="22"/>
        </w:rPr>
        <w:t>Klauzula automatycznego pokrycia</w:t>
      </w:r>
      <w:r w:rsidRPr="00227D90">
        <w:rPr>
          <w:rFonts w:ascii="Calibri" w:hAnsi="Calibri"/>
          <w:sz w:val="22"/>
          <w:szCs w:val="22"/>
        </w:rPr>
        <w:t xml:space="preserve"> - Z zachowaniem pozostałych, nie zmienionych niniejszą klauzulą, postanowień umowy ubezpieczenia określonych w SIWZ i ogólnych warunkach ubezpieczenia strony uzgodniły, że:</w:t>
      </w:r>
      <w:r w:rsidRPr="00227D90">
        <w:rPr>
          <w:rFonts w:ascii="Calibri" w:hAnsi="Calibri"/>
          <w:b/>
          <w:sz w:val="22"/>
          <w:szCs w:val="22"/>
        </w:rPr>
        <w:t xml:space="preserve"> </w:t>
      </w:r>
      <w:r w:rsidRPr="00227D90">
        <w:rPr>
          <w:rFonts w:ascii="Calibri" w:hAnsi="Calibri"/>
          <w:sz w:val="22"/>
          <w:szCs w:val="22"/>
        </w:rPr>
        <w:t xml:space="preserve"> </w:t>
      </w:r>
    </w:p>
    <w:p w:rsidR="007D589B" w:rsidRPr="00227D90" w:rsidRDefault="007D589B" w:rsidP="00D016AC">
      <w:pPr>
        <w:suppressAutoHyphens/>
        <w:ind w:left="794"/>
        <w:jc w:val="both"/>
        <w:rPr>
          <w:rFonts w:ascii="Calibri" w:hAnsi="Calibri"/>
          <w:sz w:val="22"/>
          <w:szCs w:val="22"/>
        </w:rPr>
      </w:pPr>
      <w:r w:rsidRPr="00227D90">
        <w:rPr>
          <w:rFonts w:ascii="Calibri" w:hAnsi="Calibri"/>
          <w:sz w:val="22"/>
          <w:szCs w:val="22"/>
        </w:rPr>
        <w:t xml:space="preserve">mienie przyjęte w okresie ubezpieczenia zostaje objęte automatycznie ochroną ubezpieczeniową i rozliczane po upływie okresu ubezpieczenia (30 dni) bez obowiązku wcześniejszego zgłoszenia. Limit automatycznego pokrycia </w:t>
      </w:r>
      <w:r>
        <w:rPr>
          <w:rFonts w:ascii="Calibri" w:hAnsi="Calibri"/>
          <w:b/>
          <w:sz w:val="22"/>
          <w:szCs w:val="22"/>
        </w:rPr>
        <w:t>5</w:t>
      </w:r>
      <w:r w:rsidRPr="00227D90">
        <w:rPr>
          <w:rFonts w:ascii="Calibri" w:hAnsi="Calibri"/>
          <w:b/>
          <w:sz w:val="22"/>
          <w:szCs w:val="22"/>
        </w:rPr>
        <w:t xml:space="preserve">.000.000 </w:t>
      </w:r>
      <w:r>
        <w:rPr>
          <w:rFonts w:ascii="Calibri" w:hAnsi="Calibri"/>
          <w:b/>
          <w:sz w:val="22"/>
          <w:szCs w:val="22"/>
        </w:rPr>
        <w:t>zł</w:t>
      </w:r>
      <w:r w:rsidRPr="00227D90">
        <w:rPr>
          <w:rFonts w:ascii="Calibri" w:hAnsi="Calibri"/>
          <w:sz w:val="22"/>
          <w:szCs w:val="22"/>
        </w:rPr>
        <w:t>.</w:t>
      </w:r>
    </w:p>
    <w:p w:rsidR="007D589B" w:rsidRPr="00227D90" w:rsidRDefault="007D589B" w:rsidP="00D016AC">
      <w:pPr>
        <w:numPr>
          <w:ilvl w:val="0"/>
          <w:numId w:val="2"/>
        </w:numPr>
        <w:suppressAutoHyphens/>
        <w:jc w:val="both"/>
        <w:rPr>
          <w:rFonts w:ascii="Calibri" w:hAnsi="Calibri"/>
          <w:sz w:val="22"/>
          <w:szCs w:val="22"/>
        </w:rPr>
      </w:pPr>
      <w:r w:rsidRPr="00227D90">
        <w:rPr>
          <w:rFonts w:ascii="Calibri" w:hAnsi="Calibri"/>
          <w:b/>
          <w:sz w:val="22"/>
          <w:szCs w:val="22"/>
        </w:rPr>
        <w:t>Klauzula miejsca ubezpieczenia</w:t>
      </w:r>
      <w:r w:rsidRPr="00227D90">
        <w:rPr>
          <w:rFonts w:ascii="Calibri" w:hAnsi="Calibri"/>
          <w:sz w:val="22"/>
          <w:szCs w:val="22"/>
        </w:rPr>
        <w:t xml:space="preserve"> – 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94"/>
        <w:jc w:val="both"/>
        <w:rPr>
          <w:rFonts w:ascii="Calibri" w:hAnsi="Calibri"/>
          <w:sz w:val="22"/>
          <w:szCs w:val="22"/>
        </w:rPr>
      </w:pPr>
      <w:r w:rsidRPr="00227D90">
        <w:rPr>
          <w:rFonts w:ascii="Calibri" w:hAnsi="Calibri"/>
          <w:sz w:val="22"/>
          <w:szCs w:val="22"/>
        </w:rPr>
        <w:t>ochroną ubezpieczeniową będą objęte również wszelkie przyszłe lokalizacje, w których Ubezpieczający będzie prowadził swoją działalność, pod warunkiem zgłoszenia tego faktu ubezpieczycielowi w terminie 30 dni od daty uruchomienia danej lokalizacji.</w:t>
      </w:r>
    </w:p>
    <w:p w:rsidR="007D589B" w:rsidRPr="00227D90" w:rsidRDefault="007D589B" w:rsidP="00D016AC">
      <w:pPr>
        <w:numPr>
          <w:ilvl w:val="0"/>
          <w:numId w:val="2"/>
        </w:numPr>
        <w:suppressAutoHyphens/>
        <w:jc w:val="both"/>
        <w:rPr>
          <w:rFonts w:ascii="Calibri" w:hAnsi="Calibri"/>
          <w:sz w:val="22"/>
          <w:szCs w:val="22"/>
        </w:rPr>
      </w:pPr>
      <w:r>
        <w:rPr>
          <w:rFonts w:ascii="Calibri" w:hAnsi="Calibri"/>
          <w:b/>
          <w:sz w:val="22"/>
          <w:szCs w:val="22"/>
        </w:rPr>
        <w:t>Klauzula rezygnacji z zarzutu niedoubezpieczenia</w:t>
      </w:r>
      <w:r w:rsidRPr="00227D90">
        <w:rPr>
          <w:rFonts w:ascii="Calibri" w:hAnsi="Calibri"/>
          <w:b/>
          <w:sz w:val="22"/>
          <w:szCs w:val="22"/>
        </w:rPr>
        <w:t xml:space="preserve"> – </w:t>
      </w:r>
      <w:r w:rsidRPr="00227D90">
        <w:rPr>
          <w:rFonts w:ascii="Calibri" w:hAnsi="Calibri"/>
          <w:sz w:val="22"/>
          <w:szCs w:val="22"/>
        </w:rPr>
        <w:t>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94"/>
        <w:jc w:val="both"/>
        <w:rPr>
          <w:rFonts w:ascii="Calibri" w:hAnsi="Calibri"/>
          <w:sz w:val="22"/>
          <w:szCs w:val="22"/>
        </w:rPr>
      </w:pPr>
      <w:r w:rsidRPr="00227D90">
        <w:rPr>
          <w:rFonts w:ascii="Calibri" w:hAnsi="Calibri"/>
          <w:sz w:val="22"/>
          <w:szCs w:val="22"/>
        </w:rPr>
        <w:t>przy ubezpieczeniu w wartośc</w:t>
      </w:r>
      <w:r>
        <w:rPr>
          <w:rFonts w:ascii="Calibri" w:hAnsi="Calibri"/>
          <w:sz w:val="22"/>
          <w:szCs w:val="22"/>
        </w:rPr>
        <w:t xml:space="preserve">i odtworzeniowej </w:t>
      </w:r>
      <w:r w:rsidRPr="00227D90">
        <w:rPr>
          <w:rFonts w:ascii="Calibri" w:hAnsi="Calibri"/>
          <w:sz w:val="22"/>
          <w:szCs w:val="22"/>
        </w:rPr>
        <w:t>przy ustalaniu wysokości odszkodowania nie będzie miała zastosowania zasada proporcji</w:t>
      </w:r>
      <w:r>
        <w:rPr>
          <w:rFonts w:ascii="Calibri" w:hAnsi="Calibri"/>
          <w:sz w:val="22"/>
          <w:szCs w:val="22"/>
        </w:rPr>
        <w:t xml:space="preserve"> w następujących przypadkach, jeżeli: wartość </w:t>
      </w:r>
      <w:r w:rsidRPr="00227D90">
        <w:rPr>
          <w:rFonts w:ascii="Calibri" w:hAnsi="Calibri"/>
          <w:sz w:val="22"/>
          <w:szCs w:val="22"/>
        </w:rPr>
        <w:t>szk</w:t>
      </w:r>
      <w:r>
        <w:rPr>
          <w:rFonts w:ascii="Calibri" w:hAnsi="Calibri"/>
          <w:sz w:val="22"/>
          <w:szCs w:val="22"/>
        </w:rPr>
        <w:t>o</w:t>
      </w:r>
      <w:r w:rsidRPr="00227D90">
        <w:rPr>
          <w:rFonts w:ascii="Calibri" w:hAnsi="Calibri"/>
          <w:sz w:val="22"/>
          <w:szCs w:val="22"/>
        </w:rPr>
        <w:t>d</w:t>
      </w:r>
      <w:r>
        <w:rPr>
          <w:rFonts w:ascii="Calibri" w:hAnsi="Calibri"/>
          <w:sz w:val="22"/>
          <w:szCs w:val="22"/>
        </w:rPr>
        <w:t xml:space="preserve">y nie przekracza </w:t>
      </w:r>
      <w:r w:rsidRPr="00227D90">
        <w:rPr>
          <w:rFonts w:ascii="Calibri" w:hAnsi="Calibri"/>
          <w:sz w:val="22"/>
          <w:szCs w:val="22"/>
        </w:rPr>
        <w:t xml:space="preserve">25% sumy ubezpieczenia </w:t>
      </w:r>
      <w:r>
        <w:rPr>
          <w:rFonts w:ascii="Calibri" w:hAnsi="Calibri"/>
          <w:sz w:val="22"/>
          <w:szCs w:val="22"/>
        </w:rPr>
        <w:t>lub</w:t>
      </w:r>
      <w:r w:rsidRPr="00227D90">
        <w:rPr>
          <w:rFonts w:ascii="Calibri" w:hAnsi="Calibri"/>
          <w:sz w:val="22"/>
          <w:szCs w:val="22"/>
        </w:rPr>
        <w:t xml:space="preserve"> niedoszacowanie sumy ubezpieczenia wyższe niż 25% tej sumy</w:t>
      </w:r>
      <w:r>
        <w:rPr>
          <w:rFonts w:ascii="Calibri" w:hAnsi="Calibri"/>
          <w:sz w:val="22"/>
          <w:szCs w:val="22"/>
        </w:rPr>
        <w:t>.</w:t>
      </w:r>
    </w:p>
    <w:p w:rsidR="007D589B" w:rsidRPr="00227D90" w:rsidRDefault="007D589B" w:rsidP="00D016AC">
      <w:pPr>
        <w:numPr>
          <w:ilvl w:val="0"/>
          <w:numId w:val="2"/>
        </w:numPr>
        <w:suppressAutoHyphens/>
        <w:jc w:val="both"/>
        <w:rPr>
          <w:rFonts w:ascii="Calibri" w:hAnsi="Calibri"/>
          <w:sz w:val="22"/>
          <w:szCs w:val="22"/>
        </w:rPr>
      </w:pPr>
      <w:r w:rsidRPr="00227D90">
        <w:rPr>
          <w:rFonts w:ascii="Calibri" w:hAnsi="Calibri"/>
          <w:b/>
          <w:sz w:val="22"/>
          <w:szCs w:val="22"/>
        </w:rPr>
        <w:t xml:space="preserve">Klauzula uprzątnięcia pozostałości po szkodzie </w:t>
      </w:r>
      <w:r w:rsidRPr="00227D90">
        <w:rPr>
          <w:rFonts w:ascii="Calibri" w:hAnsi="Calibri"/>
          <w:sz w:val="22"/>
          <w:szCs w:val="22"/>
        </w:rPr>
        <w:t>- 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94"/>
        <w:jc w:val="both"/>
        <w:rPr>
          <w:rFonts w:ascii="Calibri" w:hAnsi="Calibri"/>
          <w:sz w:val="22"/>
          <w:szCs w:val="22"/>
        </w:rPr>
      </w:pPr>
      <w:r w:rsidRPr="00227D90">
        <w:rPr>
          <w:rFonts w:ascii="Calibri" w:hAnsi="Calibri"/>
          <w:sz w:val="22"/>
          <w:szCs w:val="22"/>
        </w:rPr>
        <w:t xml:space="preserve">ubezpieczyciel zwróci ubezpieczającemu konieczne i uzasadnione koszty usunięcia pozostałości po zniszczonym mieniu w granicach limitu </w:t>
      </w:r>
      <w:r>
        <w:rPr>
          <w:rFonts w:ascii="Calibri" w:hAnsi="Calibri"/>
          <w:b/>
          <w:sz w:val="22"/>
          <w:szCs w:val="22"/>
        </w:rPr>
        <w:t>2</w:t>
      </w:r>
      <w:r w:rsidRPr="00227D90">
        <w:rPr>
          <w:rFonts w:ascii="Calibri" w:hAnsi="Calibri"/>
          <w:b/>
          <w:sz w:val="22"/>
          <w:szCs w:val="22"/>
        </w:rPr>
        <w:t xml:space="preserve">.000.000 </w:t>
      </w:r>
      <w:r>
        <w:rPr>
          <w:rFonts w:ascii="Calibri" w:hAnsi="Calibri"/>
          <w:b/>
          <w:sz w:val="22"/>
          <w:szCs w:val="22"/>
        </w:rPr>
        <w:t>zł</w:t>
      </w:r>
      <w:r w:rsidRPr="00227D90">
        <w:rPr>
          <w:rFonts w:ascii="Calibri" w:hAnsi="Calibri"/>
          <w:b/>
          <w:sz w:val="22"/>
          <w:szCs w:val="22"/>
        </w:rPr>
        <w:t xml:space="preserve"> </w:t>
      </w:r>
      <w:r w:rsidRPr="00227D90">
        <w:rPr>
          <w:rFonts w:ascii="Calibri" w:hAnsi="Calibri"/>
          <w:sz w:val="22"/>
          <w:szCs w:val="22"/>
        </w:rPr>
        <w:t>ponad sumę ubezpieczenia;</w:t>
      </w:r>
    </w:p>
    <w:p w:rsidR="007D589B" w:rsidRPr="00227D90" w:rsidRDefault="007D589B" w:rsidP="00D016AC">
      <w:pPr>
        <w:numPr>
          <w:ilvl w:val="0"/>
          <w:numId w:val="2"/>
        </w:numPr>
        <w:suppressAutoHyphens/>
        <w:jc w:val="both"/>
        <w:rPr>
          <w:rFonts w:ascii="Calibri" w:hAnsi="Calibri"/>
          <w:sz w:val="22"/>
          <w:szCs w:val="22"/>
        </w:rPr>
      </w:pPr>
      <w:r w:rsidRPr="00227D90">
        <w:rPr>
          <w:rFonts w:ascii="Calibri" w:hAnsi="Calibri"/>
          <w:b/>
          <w:sz w:val="22"/>
          <w:szCs w:val="22"/>
        </w:rPr>
        <w:t xml:space="preserve">Klauzula zwiększonych kosztów pracy - </w:t>
      </w:r>
      <w:r w:rsidRPr="00227D90">
        <w:rPr>
          <w:rFonts w:ascii="Calibri" w:hAnsi="Calibri"/>
          <w:sz w:val="22"/>
          <w:szCs w:val="22"/>
        </w:rPr>
        <w:t>Z zachowaniem pozostałych, nie zmienionych niniejszą klauzulą, postanowień umowy ubezpieczenia określonych w SWIZ i ogólnych warunkach ubezpieczenia strony uzgodniły, że:</w:t>
      </w:r>
    </w:p>
    <w:p w:rsidR="007D589B" w:rsidRPr="00227D90" w:rsidRDefault="007D589B" w:rsidP="00D016AC">
      <w:pPr>
        <w:suppressAutoHyphens/>
        <w:ind w:left="794"/>
        <w:jc w:val="both"/>
        <w:rPr>
          <w:rFonts w:ascii="Calibri" w:hAnsi="Calibri"/>
          <w:sz w:val="22"/>
          <w:szCs w:val="22"/>
        </w:rPr>
      </w:pPr>
      <w:r w:rsidRPr="00227D90">
        <w:rPr>
          <w:rFonts w:ascii="Calibri" w:hAnsi="Calibri"/>
          <w:sz w:val="22"/>
          <w:szCs w:val="22"/>
        </w:rPr>
        <w:t>ubezpieczyciel w ramach odszkodowania pokryje dodatkowo poniesione przez ubezpieczającego koszty pracy w godzinach nadliczbowych, nocnych i w dni wolne od pracy w granicach 20% ponad sumę ubezpieczenia, jednak nie więcej niż 200.000 zł;</w:t>
      </w:r>
    </w:p>
    <w:p w:rsidR="007D589B" w:rsidRPr="00227D90" w:rsidRDefault="007D589B" w:rsidP="00D016AC">
      <w:pPr>
        <w:numPr>
          <w:ilvl w:val="0"/>
          <w:numId w:val="2"/>
        </w:numPr>
        <w:suppressAutoHyphens/>
        <w:jc w:val="both"/>
        <w:rPr>
          <w:rFonts w:ascii="Calibri" w:hAnsi="Calibri"/>
          <w:color w:val="000000"/>
          <w:sz w:val="22"/>
          <w:szCs w:val="22"/>
        </w:rPr>
      </w:pPr>
      <w:r w:rsidRPr="00227D90">
        <w:rPr>
          <w:rFonts w:ascii="Calibri" w:hAnsi="Calibri"/>
          <w:b/>
          <w:color w:val="000000"/>
          <w:sz w:val="22"/>
          <w:szCs w:val="22"/>
        </w:rPr>
        <w:t xml:space="preserve">Klauzula cesji - </w:t>
      </w:r>
      <w:r w:rsidRPr="00227D90">
        <w:rPr>
          <w:rFonts w:ascii="Calibri" w:hAnsi="Calibri"/>
          <w:sz w:val="22"/>
          <w:szCs w:val="22"/>
        </w:rPr>
        <w:t>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94"/>
        <w:jc w:val="both"/>
        <w:rPr>
          <w:rFonts w:ascii="Calibri" w:hAnsi="Calibri"/>
          <w:color w:val="000000"/>
          <w:sz w:val="22"/>
          <w:szCs w:val="22"/>
        </w:rPr>
      </w:pPr>
      <w:r w:rsidRPr="00227D90">
        <w:rPr>
          <w:rFonts w:ascii="Calibri" w:hAnsi="Calibri"/>
          <w:color w:val="000000"/>
          <w:sz w:val="22"/>
          <w:szCs w:val="22"/>
        </w:rPr>
        <w:t>Przedmiotowa umowa ubezpieczenia w zakresie w jakim dotyczy mienia, nie wygasa w wyniku przejścia własności ubezpieczonego mienia na Bank lub inny podmiot, wskutek przewłaszczenia na zabezpieczenie wierzytelności względem Ubezpieczającego. Umowa ubezpieczenia nie wygasa również wskutek powrotnego przejścia na Ubezpieczającego własności mienia przewłaszczonego w wyniku spłaty długu. Umowa ubezpieczenia nie wygasa niezależnie od tego, ile razy dokonywane będą wymienione wyżej czynności</w:t>
      </w:r>
      <w:r w:rsidRPr="00227D90">
        <w:rPr>
          <w:rFonts w:ascii="Calibri" w:hAnsi="Calibri"/>
          <w:bCs/>
          <w:sz w:val="22"/>
          <w:szCs w:val="22"/>
        </w:rPr>
        <w:t>.</w:t>
      </w:r>
    </w:p>
    <w:p w:rsidR="007D589B" w:rsidRPr="00227D90" w:rsidRDefault="007D589B" w:rsidP="00D016AC">
      <w:pPr>
        <w:numPr>
          <w:ilvl w:val="0"/>
          <w:numId w:val="2"/>
        </w:numPr>
        <w:suppressAutoHyphens/>
        <w:jc w:val="both"/>
        <w:rPr>
          <w:rFonts w:ascii="Calibri" w:hAnsi="Calibri"/>
          <w:sz w:val="22"/>
          <w:szCs w:val="22"/>
        </w:rPr>
      </w:pPr>
      <w:r w:rsidRPr="00227D90">
        <w:rPr>
          <w:rFonts w:ascii="Calibri" w:hAnsi="Calibri"/>
          <w:b/>
          <w:sz w:val="22"/>
          <w:szCs w:val="22"/>
        </w:rPr>
        <w:t xml:space="preserve">Klauzula odtworzenia dokumentów – </w:t>
      </w:r>
      <w:r w:rsidRPr="00227D90">
        <w:rPr>
          <w:rFonts w:ascii="Calibri" w:hAnsi="Calibri"/>
          <w:sz w:val="22"/>
          <w:szCs w:val="22"/>
        </w:rPr>
        <w:t>Z zachowaniem pozostałych, nie zmienionych niniejszą klauzulą, postanowień umowy ubezpieczenia określonych w SIWZ i ogólnych warunkach ubezpieczenia strony uzgodniły, że:</w:t>
      </w:r>
    </w:p>
    <w:p w:rsidR="007D589B" w:rsidRPr="00227D90" w:rsidRDefault="007D589B" w:rsidP="00D016AC">
      <w:pPr>
        <w:suppressAutoHyphens/>
        <w:ind w:left="794"/>
        <w:jc w:val="both"/>
        <w:rPr>
          <w:rFonts w:ascii="Calibri" w:hAnsi="Calibri"/>
          <w:sz w:val="22"/>
          <w:szCs w:val="22"/>
        </w:rPr>
      </w:pPr>
      <w:r w:rsidRPr="00227D90">
        <w:rPr>
          <w:rFonts w:ascii="Calibri" w:hAnsi="Calibri"/>
          <w:sz w:val="22"/>
          <w:szCs w:val="22"/>
        </w:rPr>
        <w:t>Ubezpieczyciel zwróci poniesione koszty odtworzenia i przywrócenia stanu poprzedniego dokumentów, akt, planów itp. – limit 100.000 zł</w:t>
      </w:r>
    </w:p>
    <w:p w:rsidR="007D589B" w:rsidRPr="00227D90" w:rsidRDefault="007D589B" w:rsidP="00D016AC">
      <w:pPr>
        <w:numPr>
          <w:ilvl w:val="0"/>
          <w:numId w:val="2"/>
        </w:numPr>
        <w:jc w:val="both"/>
        <w:rPr>
          <w:rFonts w:ascii="Calibri" w:hAnsi="Calibri"/>
          <w:b/>
          <w:sz w:val="22"/>
          <w:szCs w:val="22"/>
        </w:rPr>
      </w:pPr>
      <w:r w:rsidRPr="00227D90">
        <w:rPr>
          <w:rFonts w:ascii="Calibri" w:hAnsi="Calibri"/>
          <w:b/>
          <w:sz w:val="22"/>
          <w:szCs w:val="22"/>
        </w:rPr>
        <w:t xml:space="preserve">Klauzula drobnych robót budowlanych – </w:t>
      </w:r>
      <w:r w:rsidRPr="00227D90">
        <w:rPr>
          <w:rFonts w:ascii="Calibri" w:hAnsi="Calibri"/>
          <w:sz w:val="22"/>
          <w:szCs w:val="22"/>
        </w:rPr>
        <w:t>Z zachowaniem pozostałych, nie zmienionych niniejszą klauzulą, postanowień umowy ubezpieczenia określonych w SIWZ ogólnych warunkach ubezpieczenia strony uzgodniły, że:</w:t>
      </w:r>
    </w:p>
    <w:p w:rsidR="007D589B" w:rsidRPr="00227D90" w:rsidRDefault="007D589B" w:rsidP="00D016AC">
      <w:pPr>
        <w:ind w:left="794"/>
        <w:jc w:val="both"/>
        <w:rPr>
          <w:rFonts w:ascii="Calibri" w:hAnsi="Calibri"/>
          <w:b/>
          <w:sz w:val="22"/>
          <w:szCs w:val="22"/>
        </w:rPr>
      </w:pPr>
      <w:r w:rsidRPr="00227D90">
        <w:rPr>
          <w:rFonts w:ascii="Calibri" w:hAnsi="Calibri"/>
          <w:sz w:val="22"/>
          <w:szCs w:val="22"/>
        </w:rPr>
        <w:t>ochroną ubezpieczeniową objęte zostaną szkody powstałe w trakcie prowadzenia drobnych prac budowlano-montażowych:</w:t>
      </w:r>
    </w:p>
    <w:p w:rsidR="007D589B" w:rsidRPr="00227D90" w:rsidRDefault="007D589B" w:rsidP="00D016AC">
      <w:pPr>
        <w:numPr>
          <w:ilvl w:val="2"/>
          <w:numId w:val="3"/>
        </w:numPr>
        <w:jc w:val="both"/>
        <w:rPr>
          <w:rFonts w:ascii="Calibri" w:hAnsi="Calibri"/>
          <w:sz w:val="22"/>
          <w:szCs w:val="22"/>
        </w:rPr>
      </w:pPr>
      <w:r w:rsidRPr="00227D90">
        <w:rPr>
          <w:rFonts w:ascii="Calibri" w:hAnsi="Calibri"/>
          <w:sz w:val="22"/>
          <w:szCs w:val="22"/>
        </w:rPr>
        <w:t>w mieniu będącym przedmiotem ubezpieczenia do sum ubezpieczenia określonych w umowie ubezpieczenia</w:t>
      </w:r>
    </w:p>
    <w:p w:rsidR="007D589B" w:rsidRPr="00227D90" w:rsidRDefault="007D589B" w:rsidP="00D016AC">
      <w:pPr>
        <w:numPr>
          <w:ilvl w:val="2"/>
          <w:numId w:val="3"/>
        </w:numPr>
        <w:jc w:val="both"/>
        <w:rPr>
          <w:rFonts w:ascii="Calibri" w:hAnsi="Calibri"/>
          <w:b/>
          <w:sz w:val="22"/>
          <w:szCs w:val="22"/>
        </w:rPr>
      </w:pPr>
      <w:r w:rsidRPr="00227D90">
        <w:rPr>
          <w:rFonts w:ascii="Calibri" w:hAnsi="Calibri"/>
          <w:sz w:val="22"/>
          <w:szCs w:val="22"/>
        </w:rPr>
        <w:t>w mieniu będącym przedmiotem prac budowlano-montażowych do limitu</w:t>
      </w:r>
      <w:r>
        <w:rPr>
          <w:rFonts w:ascii="Calibri" w:hAnsi="Calibri"/>
          <w:sz w:val="22"/>
          <w:szCs w:val="22"/>
        </w:rPr>
        <w:t xml:space="preserve"> </w:t>
      </w:r>
      <w:r w:rsidRPr="00227D90">
        <w:rPr>
          <w:rFonts w:ascii="Calibri" w:hAnsi="Calibri"/>
          <w:sz w:val="22"/>
          <w:szCs w:val="22"/>
        </w:rPr>
        <w:t>1.000.000 zł</w:t>
      </w:r>
    </w:p>
    <w:p w:rsidR="007D589B" w:rsidRPr="00227D90" w:rsidRDefault="007D589B" w:rsidP="00DF31A4">
      <w:pPr>
        <w:ind w:left="708"/>
        <w:jc w:val="both"/>
        <w:rPr>
          <w:rFonts w:ascii="Calibri" w:hAnsi="Calibri"/>
          <w:b/>
          <w:sz w:val="22"/>
          <w:szCs w:val="22"/>
        </w:rPr>
      </w:pPr>
      <w:r w:rsidRPr="00227D90">
        <w:rPr>
          <w:rFonts w:ascii="Calibri" w:hAnsi="Calibri"/>
          <w:sz w:val="22"/>
          <w:szCs w:val="22"/>
        </w:rPr>
        <w:t>pod warunkiem, że prowadzone prace nie wymagają zezwolenia na budowę odpowiednich organów zgodnie z obowiązującymi przepisami prawa.</w:t>
      </w:r>
    </w:p>
    <w:p w:rsidR="007D589B" w:rsidRPr="00227D90" w:rsidRDefault="007D589B" w:rsidP="00D016AC">
      <w:pPr>
        <w:numPr>
          <w:ilvl w:val="0"/>
          <w:numId w:val="2"/>
        </w:numPr>
        <w:suppressAutoHyphens/>
        <w:spacing w:before="112"/>
        <w:ind w:hanging="652"/>
        <w:jc w:val="both"/>
        <w:rPr>
          <w:rFonts w:ascii="Calibri" w:hAnsi="Calibri"/>
          <w:sz w:val="21"/>
          <w:szCs w:val="21"/>
        </w:rPr>
      </w:pPr>
      <w:r w:rsidRPr="00227D90">
        <w:rPr>
          <w:rFonts w:ascii="Calibri" w:hAnsi="Calibri"/>
          <w:b/>
          <w:sz w:val="22"/>
          <w:szCs w:val="22"/>
        </w:rPr>
        <w:t>Klauzula mienia wyłączonego z eksploatacji -</w:t>
      </w:r>
      <w:r w:rsidRPr="00227D90">
        <w:rPr>
          <w:rFonts w:ascii="Calibri" w:hAnsi="Calibri"/>
          <w:b/>
          <w:color w:val="FF0000"/>
          <w:sz w:val="22"/>
          <w:szCs w:val="22"/>
        </w:rPr>
        <w:t xml:space="preserve"> </w:t>
      </w:r>
      <w:r w:rsidRPr="00227D90">
        <w:rPr>
          <w:rFonts w:ascii="Calibri" w:hAnsi="Calibri"/>
          <w:sz w:val="22"/>
          <w:szCs w:val="22"/>
        </w:rPr>
        <w:t>Z zachowaniem pozostałych, nie zmienionych niniejszą klauzulą, postanowień umowy ubezpieczenia określonych w SIWZ i ogólnych warunkach ubezpieczenia strony uzgodniły, że:</w:t>
      </w:r>
    </w:p>
    <w:p w:rsidR="007D589B" w:rsidRDefault="007D589B" w:rsidP="00DF31A4">
      <w:pPr>
        <w:ind w:left="708"/>
        <w:jc w:val="both"/>
        <w:rPr>
          <w:rFonts w:ascii="Calibri" w:hAnsi="Calibri"/>
          <w:sz w:val="22"/>
          <w:szCs w:val="22"/>
        </w:rPr>
      </w:pPr>
      <w:r w:rsidRPr="00227D90">
        <w:rPr>
          <w:rFonts w:ascii="Calibri" w:hAnsi="Calibri"/>
          <w:sz w:val="22"/>
          <w:szCs w:val="22"/>
        </w:rPr>
        <w:t>ochrona ubezpieczeniowa nie ulegnie zmianom, jeżeli budynki, urządzenia i instalacje (występujące w wykazie mienia – Załącznik nr 5 do SIWZ) są wyłączone z eksploatacji przez okres krótszy niż 12 miesięcy, pod warunkiem, że mienie to jest należycie zabezpieczone.</w:t>
      </w:r>
    </w:p>
    <w:p w:rsidR="007D589B" w:rsidRDefault="007D589B" w:rsidP="00227D90">
      <w:pPr>
        <w:jc w:val="both"/>
        <w:rPr>
          <w:rFonts w:ascii="Calibri" w:hAnsi="Calibri"/>
          <w:sz w:val="22"/>
          <w:szCs w:val="22"/>
        </w:rPr>
      </w:pPr>
    </w:p>
    <w:p w:rsidR="007D589B" w:rsidRPr="00227D90" w:rsidRDefault="007D589B" w:rsidP="00227D90">
      <w:pPr>
        <w:numPr>
          <w:ilvl w:val="0"/>
          <w:numId w:val="2"/>
        </w:numPr>
        <w:suppressAutoHyphens/>
        <w:ind w:hanging="652"/>
        <w:jc w:val="both"/>
        <w:rPr>
          <w:rFonts w:ascii="Calibri" w:hAnsi="Calibri"/>
          <w:sz w:val="21"/>
          <w:szCs w:val="21"/>
        </w:rPr>
      </w:pPr>
      <w:r w:rsidRPr="00227D90">
        <w:rPr>
          <w:rFonts w:ascii="Calibri" w:hAnsi="Calibri"/>
          <w:b/>
          <w:sz w:val="22"/>
          <w:szCs w:val="22"/>
        </w:rPr>
        <w:t xml:space="preserve">Klauzula </w:t>
      </w:r>
      <w:r>
        <w:rPr>
          <w:rFonts w:ascii="Calibri" w:hAnsi="Calibri"/>
          <w:b/>
          <w:sz w:val="22"/>
          <w:szCs w:val="22"/>
        </w:rPr>
        <w:t>katastrofy budowlanej</w:t>
      </w:r>
      <w:r w:rsidRPr="00227D90">
        <w:rPr>
          <w:rFonts w:ascii="Calibri" w:hAnsi="Calibri"/>
          <w:b/>
          <w:sz w:val="22"/>
          <w:szCs w:val="22"/>
        </w:rPr>
        <w:t xml:space="preserve"> -</w:t>
      </w:r>
      <w:r w:rsidRPr="00227D90">
        <w:rPr>
          <w:rFonts w:ascii="Calibri" w:hAnsi="Calibri"/>
          <w:b/>
          <w:color w:val="FF0000"/>
          <w:sz w:val="22"/>
          <w:szCs w:val="22"/>
        </w:rPr>
        <w:t xml:space="preserve"> </w:t>
      </w:r>
      <w:r w:rsidRPr="00227D90">
        <w:rPr>
          <w:rFonts w:ascii="Calibri" w:hAnsi="Calibri"/>
          <w:sz w:val="22"/>
          <w:szCs w:val="22"/>
        </w:rPr>
        <w:t>Z zachowaniem pozostałych, nie zmienionych niniejszą klauzulą, postanowień umowy ubezpieczenia określonych w SIWZ i ogólnych warunkach ubezpieczenia strony uzgodniły, że:</w:t>
      </w:r>
    </w:p>
    <w:p w:rsidR="007D589B" w:rsidRDefault="007D589B" w:rsidP="00227D90">
      <w:pPr>
        <w:suppressAutoHyphens/>
        <w:ind w:left="142"/>
        <w:jc w:val="both"/>
        <w:rPr>
          <w:rFonts w:ascii="Calibri" w:hAnsi="Calibri"/>
          <w:sz w:val="22"/>
          <w:szCs w:val="22"/>
        </w:rPr>
      </w:pPr>
      <w:r w:rsidRPr="00227D90">
        <w:rPr>
          <w:rFonts w:ascii="Calibri" w:hAnsi="Calibri"/>
          <w:sz w:val="22"/>
          <w:szCs w:val="22"/>
        </w:rPr>
        <w:t>Ubezpieczyciel pokryje koszty związane z zaistniałą katastrofą budowlaną. Definicję katastrofy budowlanej przyjmuje się zgodnie z definicją Ustawy z dnia 7 lipca 1994 r. Prawo Budowlane (tekst jednolity Dz. U. 2013. r. 1409 z późn. zm.).</w:t>
      </w:r>
      <w:r>
        <w:rPr>
          <w:rFonts w:ascii="Calibri" w:hAnsi="Calibri"/>
          <w:sz w:val="22"/>
          <w:szCs w:val="22"/>
        </w:rPr>
        <w:t xml:space="preserve"> </w:t>
      </w:r>
      <w:r w:rsidRPr="00227D90">
        <w:rPr>
          <w:rFonts w:ascii="Calibri" w:hAnsi="Calibri"/>
          <w:sz w:val="22"/>
          <w:szCs w:val="22"/>
        </w:rPr>
        <w:t>Limit odpowiedzialności wynosi 5.000.000 zł na jedno i wszystkie zdarzenia w okresie ubezpieczenia</w:t>
      </w:r>
      <w:r>
        <w:rPr>
          <w:rFonts w:ascii="Calibri" w:hAnsi="Calibri"/>
          <w:sz w:val="22"/>
          <w:szCs w:val="22"/>
        </w:rPr>
        <w:t>.</w:t>
      </w:r>
    </w:p>
    <w:p w:rsidR="007D589B" w:rsidRDefault="007D589B" w:rsidP="00227D90">
      <w:pPr>
        <w:suppressAutoHyphens/>
        <w:ind w:left="142"/>
        <w:jc w:val="both"/>
        <w:rPr>
          <w:rFonts w:ascii="Calibri" w:hAnsi="Calibri"/>
          <w:sz w:val="22"/>
          <w:szCs w:val="22"/>
        </w:rPr>
      </w:pPr>
    </w:p>
    <w:p w:rsidR="007D589B" w:rsidRPr="000D1F48" w:rsidRDefault="007D589B" w:rsidP="000D1F48">
      <w:pPr>
        <w:numPr>
          <w:ilvl w:val="0"/>
          <w:numId w:val="2"/>
        </w:numPr>
        <w:suppressAutoHyphens/>
        <w:ind w:hanging="652"/>
        <w:jc w:val="both"/>
        <w:rPr>
          <w:rFonts w:ascii="Calibri" w:hAnsi="Calibri"/>
          <w:sz w:val="22"/>
          <w:szCs w:val="22"/>
        </w:rPr>
      </w:pPr>
      <w:r w:rsidRPr="000D1F48">
        <w:rPr>
          <w:rFonts w:ascii="Calibri" w:hAnsi="Calibri"/>
          <w:b/>
          <w:sz w:val="22"/>
          <w:szCs w:val="22"/>
        </w:rPr>
        <w:t xml:space="preserve">Klauzula składowania - </w:t>
      </w:r>
      <w:r w:rsidRPr="000D1F48">
        <w:rPr>
          <w:rFonts w:ascii="Calibri" w:hAnsi="Calibri"/>
          <w:sz w:val="22"/>
          <w:szCs w:val="22"/>
        </w:rPr>
        <w:t>Z zachowaniem pozostałych, nie zmienionych niniejszą klauzulą, postanowień umowy ubezpieczenia określonych w SIWZ i ogólnych warunkach ubezpieczenia strony uzgodniły, że:</w:t>
      </w:r>
    </w:p>
    <w:p w:rsidR="007D589B" w:rsidRPr="000D1F48" w:rsidRDefault="007D589B" w:rsidP="000D1F48">
      <w:pPr>
        <w:suppressAutoHyphens/>
        <w:ind w:left="239"/>
        <w:jc w:val="both"/>
        <w:rPr>
          <w:rFonts w:ascii="Calibri" w:hAnsi="Calibri"/>
          <w:sz w:val="22"/>
          <w:szCs w:val="22"/>
        </w:rPr>
      </w:pPr>
      <w:r w:rsidRPr="000D1F48">
        <w:rPr>
          <w:rFonts w:ascii="Calibri" w:hAnsi="Calibri"/>
          <w:sz w:val="22"/>
          <w:szCs w:val="22"/>
        </w:rPr>
        <w:t>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w:t>
      </w:r>
    </w:p>
    <w:p w:rsidR="007D589B" w:rsidRPr="000D1F48" w:rsidRDefault="007D589B" w:rsidP="000D1F48">
      <w:pPr>
        <w:rPr>
          <w:rFonts w:ascii="Calibri" w:hAnsi="Calibri"/>
        </w:rPr>
      </w:pPr>
    </w:p>
    <w:p w:rsidR="007D589B" w:rsidRPr="000D1F48" w:rsidRDefault="007D589B" w:rsidP="000D1F48">
      <w:pPr>
        <w:numPr>
          <w:ilvl w:val="0"/>
          <w:numId w:val="2"/>
        </w:numPr>
        <w:suppressAutoHyphens/>
        <w:ind w:hanging="652"/>
        <w:jc w:val="both"/>
        <w:rPr>
          <w:rFonts w:ascii="Calibri" w:hAnsi="Calibri"/>
          <w:sz w:val="22"/>
          <w:szCs w:val="22"/>
        </w:rPr>
      </w:pPr>
      <w:r w:rsidRPr="000D1F48">
        <w:rPr>
          <w:rFonts w:ascii="Calibri" w:hAnsi="Calibri"/>
          <w:b/>
          <w:sz w:val="22"/>
          <w:szCs w:val="22"/>
        </w:rPr>
        <w:t xml:space="preserve">Klauzula poszukiwania miejsca szkody - </w:t>
      </w:r>
      <w:r w:rsidRPr="000D1F48">
        <w:rPr>
          <w:rFonts w:ascii="Calibri" w:hAnsi="Calibri"/>
          <w:sz w:val="22"/>
          <w:szCs w:val="22"/>
        </w:rPr>
        <w:t>Z zachowaniem pozostałych, nie zmienionych niniejszą klauzulą, postanowień umowy ubezpieczenia określonych w SIWZ i ogólnych warunkach ubezpieczenia strony uzgodniły, że:</w:t>
      </w:r>
    </w:p>
    <w:p w:rsidR="007D589B" w:rsidRPr="000D1F48" w:rsidRDefault="007D589B" w:rsidP="000D1F48">
      <w:pPr>
        <w:suppressAutoHyphens/>
        <w:ind w:left="239"/>
        <w:jc w:val="both"/>
        <w:rPr>
          <w:rFonts w:ascii="Calibri" w:hAnsi="Calibri"/>
          <w:sz w:val="22"/>
          <w:szCs w:val="22"/>
        </w:rPr>
      </w:pPr>
      <w:r w:rsidRPr="000D1F48">
        <w:rPr>
          <w:rFonts w:ascii="Calibri" w:hAnsi="Calibri"/>
          <w:sz w:val="22"/>
          <w:szCs w:val="22"/>
        </w:rPr>
        <w:t>Ubezpieczyciel zwróci Zamawiającemu koszty poszukiwania miejsca powstania szkody (uszkodzenia, awarii itp.</w:t>
      </w:r>
      <w:r w:rsidRPr="000D1F48">
        <w:rPr>
          <w:rFonts w:ascii="Calibri" w:hAnsi="Calibri"/>
          <w:sz w:val="22"/>
          <w:szCs w:val="22"/>
        </w:rPr>
        <w:softHyphen/>
        <w:t>) do limitu 50.000 zł na jedno i wszystkie zdarzenia w okresie ubezpieczenia.</w:t>
      </w:r>
    </w:p>
    <w:p w:rsidR="007D589B" w:rsidRPr="000D1F48" w:rsidRDefault="007D589B" w:rsidP="000D1F48">
      <w:pPr>
        <w:suppressAutoHyphens/>
        <w:ind w:left="239"/>
        <w:jc w:val="both"/>
        <w:rPr>
          <w:rFonts w:ascii="Calibri" w:hAnsi="Calibri"/>
          <w:sz w:val="22"/>
          <w:szCs w:val="22"/>
        </w:rPr>
      </w:pPr>
    </w:p>
    <w:p w:rsidR="007D589B" w:rsidRPr="000D1F48" w:rsidRDefault="007D589B" w:rsidP="000D1F48">
      <w:pPr>
        <w:numPr>
          <w:ilvl w:val="0"/>
          <w:numId w:val="2"/>
        </w:numPr>
        <w:suppressAutoHyphens/>
        <w:ind w:hanging="652"/>
        <w:jc w:val="both"/>
        <w:rPr>
          <w:rFonts w:ascii="Calibri" w:hAnsi="Calibri"/>
          <w:sz w:val="22"/>
          <w:szCs w:val="22"/>
        </w:rPr>
      </w:pPr>
      <w:r w:rsidRPr="000D1F48">
        <w:rPr>
          <w:rFonts w:ascii="Calibri" w:hAnsi="Calibri"/>
          <w:b/>
          <w:sz w:val="22"/>
          <w:szCs w:val="22"/>
        </w:rPr>
        <w:t xml:space="preserve">Klauzula zmiany lokalizacji odbudowy- </w:t>
      </w:r>
      <w:r w:rsidRPr="000D1F48">
        <w:rPr>
          <w:rFonts w:ascii="Calibri" w:hAnsi="Calibri"/>
          <w:sz w:val="22"/>
          <w:szCs w:val="22"/>
        </w:rPr>
        <w:t xml:space="preserve"> Z zachowaniem pozostałych, nie zmienionych niniejszą klauzulą, postanowień umowy ubezpieczenia określonych w SIWZ i ogólnych warunkach ubezpieczenia strony uzgodniły, że:</w:t>
      </w:r>
    </w:p>
    <w:p w:rsidR="007D589B" w:rsidRPr="000D1F48" w:rsidRDefault="007D589B" w:rsidP="000D1F48">
      <w:pPr>
        <w:ind w:left="239"/>
        <w:jc w:val="both"/>
        <w:rPr>
          <w:rFonts w:ascii="Calibri" w:hAnsi="Calibri"/>
          <w:sz w:val="22"/>
          <w:szCs w:val="22"/>
        </w:rPr>
      </w:pPr>
      <w:r w:rsidRPr="000D1F48">
        <w:rPr>
          <w:rFonts w:ascii="Calibri" w:hAnsi="Calibri"/>
          <w:sz w:val="22"/>
          <w:szCs w:val="22"/>
        </w:rPr>
        <w:t xml:space="preserve">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 </w:t>
      </w:r>
    </w:p>
    <w:p w:rsidR="007D589B" w:rsidRPr="000D1F48" w:rsidRDefault="007D589B" w:rsidP="00227D90">
      <w:pPr>
        <w:suppressAutoHyphens/>
        <w:ind w:left="142"/>
        <w:jc w:val="both"/>
        <w:rPr>
          <w:rFonts w:ascii="Calibri" w:hAnsi="Calibri"/>
          <w:sz w:val="22"/>
          <w:szCs w:val="22"/>
        </w:rPr>
      </w:pPr>
    </w:p>
    <w:p w:rsidR="007D589B" w:rsidRPr="000D1F48" w:rsidRDefault="007D589B" w:rsidP="00227D90">
      <w:pPr>
        <w:suppressAutoHyphens/>
        <w:ind w:left="142"/>
        <w:jc w:val="both"/>
        <w:rPr>
          <w:rFonts w:ascii="Calibri" w:hAnsi="Calibri"/>
          <w:sz w:val="22"/>
          <w:szCs w:val="22"/>
        </w:rPr>
      </w:pPr>
      <w:bookmarkStart w:id="0" w:name="_GoBack"/>
      <w:bookmarkEnd w:id="0"/>
    </w:p>
    <w:sectPr w:rsidR="007D589B" w:rsidRPr="000D1F48" w:rsidSect="00C97BF3">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9B" w:rsidRDefault="007D589B" w:rsidP="00D016AC">
      <w:r>
        <w:separator/>
      </w:r>
    </w:p>
  </w:endnote>
  <w:endnote w:type="continuationSeparator" w:id="0">
    <w:p w:rsidR="007D589B" w:rsidRDefault="007D589B" w:rsidP="00D016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9B" w:rsidRPr="00F400B7" w:rsidRDefault="007D589B" w:rsidP="00D016AC">
    <w:pPr>
      <w:pStyle w:val="Footer"/>
      <w:pBdr>
        <w:top w:val="single" w:sz="4" w:space="0" w:color="auto"/>
      </w:pBdr>
      <w:tabs>
        <w:tab w:val="clear" w:pos="4536"/>
        <w:tab w:val="clear" w:pos="9072"/>
        <w:tab w:val="right" w:pos="10093"/>
      </w:tabs>
      <w:rPr>
        <w:rFonts w:ascii="Cambria" w:hAnsi="Cambria"/>
        <w:sz w:val="16"/>
        <w:szCs w:val="16"/>
      </w:rPr>
    </w:pPr>
    <w:r w:rsidRPr="00F400B7">
      <w:rPr>
        <w:rFonts w:ascii="Cambria" w:hAnsi="Cambria"/>
        <w:sz w:val="16"/>
        <w:szCs w:val="16"/>
      </w:rPr>
      <w:t xml:space="preserve">SIWZ – Ubezpieczenie majątku i odpowiedzialności cywilnej </w:t>
    </w:r>
    <w:r>
      <w:rPr>
        <w:rFonts w:ascii="Cambria" w:hAnsi="Cambria"/>
        <w:sz w:val="16"/>
        <w:szCs w:val="16"/>
      </w:rPr>
      <w:t>………………………….</w:t>
    </w:r>
    <w:r w:rsidRPr="00F400B7">
      <w:rPr>
        <w:rFonts w:ascii="Cambria" w:hAnsi="Cambria"/>
        <w:sz w:val="16"/>
        <w:szCs w:val="16"/>
      </w:rPr>
      <w:tab/>
      <w:t xml:space="preserve">Strona </w:t>
    </w:r>
    <w:r w:rsidRPr="00F400B7">
      <w:rPr>
        <w:sz w:val="16"/>
        <w:szCs w:val="16"/>
      </w:rPr>
      <w:fldChar w:fldCharType="begin"/>
    </w:r>
    <w:r w:rsidRPr="00F400B7">
      <w:rPr>
        <w:sz w:val="16"/>
        <w:szCs w:val="16"/>
      </w:rPr>
      <w:instrText>PAGE   \* MERGEFORMAT</w:instrText>
    </w:r>
    <w:r w:rsidRPr="00F400B7">
      <w:rPr>
        <w:sz w:val="16"/>
        <w:szCs w:val="16"/>
      </w:rPr>
      <w:fldChar w:fldCharType="separate"/>
    </w:r>
    <w:r w:rsidRPr="00E4341E">
      <w:rPr>
        <w:rFonts w:ascii="Cambria" w:hAnsi="Cambria"/>
        <w:noProof/>
        <w:sz w:val="16"/>
        <w:szCs w:val="16"/>
      </w:rPr>
      <w:t>4</w:t>
    </w:r>
    <w:r w:rsidRPr="00F400B7">
      <w:rPr>
        <w:sz w:val="16"/>
        <w:szCs w:val="16"/>
      </w:rPr>
      <w:fldChar w:fldCharType="end"/>
    </w:r>
  </w:p>
  <w:p w:rsidR="007D589B" w:rsidRDefault="007D5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9B" w:rsidRDefault="007D589B" w:rsidP="00D016AC">
      <w:r>
        <w:separator/>
      </w:r>
    </w:p>
  </w:footnote>
  <w:footnote w:type="continuationSeparator" w:id="0">
    <w:p w:rsidR="007D589B" w:rsidRDefault="007D589B" w:rsidP="00D01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89B" w:rsidRPr="00CB4431" w:rsidRDefault="007D589B" w:rsidP="00D016AC">
    <w:pPr>
      <w:pStyle w:val="Header"/>
      <w:rPr>
        <w:rFonts w:ascii="Calibri" w:hAnsi="Calibri"/>
      </w:rPr>
    </w:pPr>
    <w:r w:rsidRPr="00CB4431">
      <w:rPr>
        <w:rFonts w:ascii="Calibri" w:hAnsi="Calibri"/>
      </w:rPr>
      <w:t>Znak</w:t>
    </w:r>
    <w:r>
      <w:rPr>
        <w:rFonts w:ascii="Calibri" w:hAnsi="Calibri"/>
      </w:rPr>
      <w:t xml:space="preserve"> Zamawiającego WPF.271.4.2016.POS</w:t>
    </w:r>
  </w:p>
  <w:p w:rsidR="007D589B" w:rsidRDefault="007D58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B6E2828C"/>
    <w:lvl w:ilvl="0">
      <w:start w:val="1"/>
      <w:numFmt w:val="decimal"/>
      <w:suff w:val="nothing"/>
      <w:lvlText w:val="%1."/>
      <w:lvlJc w:val="left"/>
      <w:pPr>
        <w:ind w:left="794" w:hanging="681"/>
      </w:pPr>
      <w:rPr>
        <w:rFonts w:ascii="Calibri" w:hAnsi="Calibri" w:cs="Times New Roman" w:hint="default"/>
        <w:b/>
        <w:i w:val="0"/>
        <w:sz w:val="22"/>
        <w:szCs w:val="22"/>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1">
    <w:nsid w:val="168F1361"/>
    <w:multiLevelType w:val="hybridMultilevel"/>
    <w:tmpl w:val="B8CAC0C0"/>
    <w:lvl w:ilvl="0" w:tplc="6B26E72A">
      <w:start w:val="1"/>
      <w:numFmt w:val="lowerLetter"/>
      <w:lvlText w:val="%1."/>
      <w:lvlJc w:val="left"/>
      <w:pPr>
        <w:tabs>
          <w:tab w:val="num" w:pos="720"/>
        </w:tabs>
        <w:ind w:left="720" w:hanging="360"/>
      </w:pPr>
      <w:rPr>
        <w:rFonts w:cs="Times New Roman" w:hint="default"/>
      </w:rPr>
    </w:lvl>
    <w:lvl w:ilvl="1" w:tplc="7B18C590">
      <w:start w:val="1"/>
      <w:numFmt w:val="bullet"/>
      <w:lvlText w:val="-"/>
      <w:lvlJc w:val="left"/>
      <w:pPr>
        <w:tabs>
          <w:tab w:val="num" w:pos="1440"/>
        </w:tabs>
        <w:ind w:left="1440" w:hanging="360"/>
      </w:pPr>
      <w:rPr>
        <w:rFonts w:ascii="Times New Roman" w:eastAsia="Times New Roman" w:hAnsi="Times New Roman" w:hint="default"/>
      </w:rPr>
    </w:lvl>
    <w:lvl w:ilvl="2" w:tplc="326CD64C">
      <w:start w:val="1"/>
      <w:numFmt w:val="lowerLetter"/>
      <w:lvlText w:val="%3."/>
      <w:lvlJc w:val="left"/>
      <w:pPr>
        <w:tabs>
          <w:tab w:val="num" w:pos="2340"/>
        </w:tabs>
        <w:ind w:left="2340" w:hanging="360"/>
      </w:pPr>
      <w:rPr>
        <w:rFonts w:cs="Times New Roman" w:hint="default"/>
        <w:b w:val="0"/>
      </w:rPr>
    </w:lvl>
    <w:lvl w:ilvl="3" w:tplc="3E4C72A6">
      <w:start w:val="1"/>
      <w:numFmt w:val="lowerLetter"/>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D5C081D"/>
    <w:multiLevelType w:val="multilevel"/>
    <w:tmpl w:val="B6E2828C"/>
    <w:lvl w:ilvl="0">
      <w:start w:val="1"/>
      <w:numFmt w:val="decimal"/>
      <w:suff w:val="nothing"/>
      <w:lvlText w:val="%1."/>
      <w:lvlJc w:val="left"/>
      <w:pPr>
        <w:ind w:left="794" w:hanging="681"/>
      </w:pPr>
      <w:rPr>
        <w:rFonts w:ascii="Calibri" w:hAnsi="Calibri" w:cs="Times New Roman" w:hint="default"/>
        <w:b/>
        <w:i w:val="0"/>
        <w:sz w:val="22"/>
        <w:szCs w:val="22"/>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3">
    <w:nsid w:val="49F63823"/>
    <w:multiLevelType w:val="multilevel"/>
    <w:tmpl w:val="02DE5390"/>
    <w:lvl w:ilvl="0">
      <w:start w:val="1"/>
      <w:numFmt w:val="decimal"/>
      <w:suff w:val="nothing"/>
      <w:lvlText w:val="%1."/>
      <w:lvlJc w:val="left"/>
      <w:pPr>
        <w:ind w:left="794" w:hanging="681"/>
      </w:pPr>
      <w:rPr>
        <w:rFonts w:ascii="Times New Roman" w:hAnsi="Times New Roman" w:cs="Times New Roman" w:hint="default"/>
        <w:b/>
        <w:i w:val="0"/>
        <w:sz w:val="24"/>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
    <w:nsid w:val="6FEF060E"/>
    <w:multiLevelType w:val="hybridMultilevel"/>
    <w:tmpl w:val="E8DE4F06"/>
    <w:lvl w:ilvl="0" w:tplc="13F61CCE">
      <w:start w:val="1"/>
      <w:numFmt w:val="bullet"/>
      <w:lvlText w:val="-"/>
      <w:lvlJc w:val="left"/>
      <w:pPr>
        <w:tabs>
          <w:tab w:val="num" w:pos="720"/>
        </w:tabs>
        <w:ind w:left="720" w:hanging="360"/>
      </w:pPr>
      <w:rPr>
        <w:rFonts w:ascii="Times New Roman" w:hAnsi="Times New Roman" w:hint="default"/>
      </w:rPr>
    </w:lvl>
    <w:lvl w:ilvl="1" w:tplc="49CED674" w:tentative="1">
      <w:start w:val="1"/>
      <w:numFmt w:val="bullet"/>
      <w:lvlText w:val="-"/>
      <w:lvlJc w:val="left"/>
      <w:pPr>
        <w:tabs>
          <w:tab w:val="num" w:pos="1440"/>
        </w:tabs>
        <w:ind w:left="1440" w:hanging="360"/>
      </w:pPr>
      <w:rPr>
        <w:rFonts w:ascii="Times New Roman" w:hAnsi="Times New Roman" w:hint="default"/>
      </w:rPr>
    </w:lvl>
    <w:lvl w:ilvl="2" w:tplc="C910081C" w:tentative="1">
      <w:start w:val="1"/>
      <w:numFmt w:val="bullet"/>
      <w:lvlText w:val="-"/>
      <w:lvlJc w:val="left"/>
      <w:pPr>
        <w:tabs>
          <w:tab w:val="num" w:pos="2160"/>
        </w:tabs>
        <w:ind w:left="2160" w:hanging="360"/>
      </w:pPr>
      <w:rPr>
        <w:rFonts w:ascii="Times New Roman" w:hAnsi="Times New Roman" w:hint="default"/>
      </w:rPr>
    </w:lvl>
    <w:lvl w:ilvl="3" w:tplc="6A3E4454" w:tentative="1">
      <w:start w:val="1"/>
      <w:numFmt w:val="bullet"/>
      <w:lvlText w:val="-"/>
      <w:lvlJc w:val="left"/>
      <w:pPr>
        <w:tabs>
          <w:tab w:val="num" w:pos="2880"/>
        </w:tabs>
        <w:ind w:left="2880" w:hanging="360"/>
      </w:pPr>
      <w:rPr>
        <w:rFonts w:ascii="Times New Roman" w:hAnsi="Times New Roman" w:hint="default"/>
      </w:rPr>
    </w:lvl>
    <w:lvl w:ilvl="4" w:tplc="D144C158" w:tentative="1">
      <w:start w:val="1"/>
      <w:numFmt w:val="bullet"/>
      <w:lvlText w:val="-"/>
      <w:lvlJc w:val="left"/>
      <w:pPr>
        <w:tabs>
          <w:tab w:val="num" w:pos="3600"/>
        </w:tabs>
        <w:ind w:left="3600" w:hanging="360"/>
      </w:pPr>
      <w:rPr>
        <w:rFonts w:ascii="Times New Roman" w:hAnsi="Times New Roman" w:hint="default"/>
      </w:rPr>
    </w:lvl>
    <w:lvl w:ilvl="5" w:tplc="FBD01454" w:tentative="1">
      <w:start w:val="1"/>
      <w:numFmt w:val="bullet"/>
      <w:lvlText w:val="-"/>
      <w:lvlJc w:val="left"/>
      <w:pPr>
        <w:tabs>
          <w:tab w:val="num" w:pos="4320"/>
        </w:tabs>
        <w:ind w:left="4320" w:hanging="360"/>
      </w:pPr>
      <w:rPr>
        <w:rFonts w:ascii="Times New Roman" w:hAnsi="Times New Roman" w:hint="default"/>
      </w:rPr>
    </w:lvl>
    <w:lvl w:ilvl="6" w:tplc="5EBEF450" w:tentative="1">
      <w:start w:val="1"/>
      <w:numFmt w:val="bullet"/>
      <w:lvlText w:val="-"/>
      <w:lvlJc w:val="left"/>
      <w:pPr>
        <w:tabs>
          <w:tab w:val="num" w:pos="5040"/>
        </w:tabs>
        <w:ind w:left="5040" w:hanging="360"/>
      </w:pPr>
      <w:rPr>
        <w:rFonts w:ascii="Times New Roman" w:hAnsi="Times New Roman" w:hint="default"/>
      </w:rPr>
    </w:lvl>
    <w:lvl w:ilvl="7" w:tplc="33D82D30" w:tentative="1">
      <w:start w:val="1"/>
      <w:numFmt w:val="bullet"/>
      <w:lvlText w:val="-"/>
      <w:lvlJc w:val="left"/>
      <w:pPr>
        <w:tabs>
          <w:tab w:val="num" w:pos="5760"/>
        </w:tabs>
        <w:ind w:left="5760" w:hanging="360"/>
      </w:pPr>
      <w:rPr>
        <w:rFonts w:ascii="Times New Roman" w:hAnsi="Times New Roman" w:hint="default"/>
      </w:rPr>
    </w:lvl>
    <w:lvl w:ilvl="8" w:tplc="F8DE172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6AC"/>
    <w:rsid w:val="00020ADF"/>
    <w:rsid w:val="000D1F48"/>
    <w:rsid w:val="00100E3B"/>
    <w:rsid w:val="00173FC7"/>
    <w:rsid w:val="001B69BE"/>
    <w:rsid w:val="00227D90"/>
    <w:rsid w:val="0029109E"/>
    <w:rsid w:val="002F09C6"/>
    <w:rsid w:val="0030306D"/>
    <w:rsid w:val="003E337F"/>
    <w:rsid w:val="006F36E5"/>
    <w:rsid w:val="00794A8F"/>
    <w:rsid w:val="007D589B"/>
    <w:rsid w:val="0081784A"/>
    <w:rsid w:val="00842A02"/>
    <w:rsid w:val="0088015E"/>
    <w:rsid w:val="00886C19"/>
    <w:rsid w:val="008A0E0B"/>
    <w:rsid w:val="008C4F46"/>
    <w:rsid w:val="009E1A6C"/>
    <w:rsid w:val="00A14044"/>
    <w:rsid w:val="00AA10E2"/>
    <w:rsid w:val="00C30E7C"/>
    <w:rsid w:val="00C47E2C"/>
    <w:rsid w:val="00C74773"/>
    <w:rsid w:val="00C97054"/>
    <w:rsid w:val="00C97BF3"/>
    <w:rsid w:val="00CB4431"/>
    <w:rsid w:val="00CD107F"/>
    <w:rsid w:val="00CD4D90"/>
    <w:rsid w:val="00D016AC"/>
    <w:rsid w:val="00DF31A4"/>
    <w:rsid w:val="00E079B1"/>
    <w:rsid w:val="00E4341E"/>
    <w:rsid w:val="00EA73ED"/>
    <w:rsid w:val="00F400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AC"/>
    <w:rPr>
      <w:rFonts w:ascii="Times New Roman" w:eastAsia="Times New Roman" w:hAnsi="Times New Roman"/>
      <w:sz w:val="20"/>
      <w:szCs w:val="20"/>
    </w:rPr>
  </w:style>
  <w:style w:type="paragraph" w:styleId="Heading1">
    <w:name w:val="heading 1"/>
    <w:basedOn w:val="Normal"/>
    <w:next w:val="Normal"/>
    <w:link w:val="Heading1Char"/>
    <w:uiPriority w:val="99"/>
    <w:qFormat/>
    <w:rsid w:val="00D016AC"/>
    <w:pPr>
      <w:spacing w:before="240"/>
      <w:outlineLvl w:val="0"/>
    </w:pPr>
    <w:rPr>
      <w:rFonts w:ascii="Arial" w:hAnsi="Arial"/>
      <w:b/>
      <w:sz w:val="24"/>
      <w:u w:val="single"/>
    </w:rPr>
  </w:style>
  <w:style w:type="paragraph" w:styleId="Heading2">
    <w:name w:val="heading 2"/>
    <w:basedOn w:val="Normal"/>
    <w:next w:val="Normal"/>
    <w:link w:val="Heading2Char"/>
    <w:uiPriority w:val="99"/>
    <w:qFormat/>
    <w:rsid w:val="00D016AC"/>
    <w:pPr>
      <w:spacing w:before="120"/>
      <w:outlineLvl w:val="1"/>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6AC"/>
    <w:rPr>
      <w:rFonts w:ascii="Arial" w:hAnsi="Arial" w:cs="Times New Roman"/>
      <w:b/>
      <w:sz w:val="20"/>
      <w:szCs w:val="20"/>
      <w:u w:val="single"/>
      <w:lang w:eastAsia="pl-PL"/>
    </w:rPr>
  </w:style>
  <w:style w:type="character" w:customStyle="1" w:styleId="Heading2Char">
    <w:name w:val="Heading 2 Char"/>
    <w:basedOn w:val="DefaultParagraphFont"/>
    <w:link w:val="Heading2"/>
    <w:uiPriority w:val="99"/>
    <w:locked/>
    <w:rsid w:val="00D016AC"/>
    <w:rPr>
      <w:rFonts w:ascii="Arial" w:hAnsi="Arial" w:cs="Times New Roman"/>
      <w:b/>
      <w:sz w:val="20"/>
      <w:szCs w:val="20"/>
      <w:lang w:eastAsia="pl-PL"/>
    </w:rPr>
  </w:style>
  <w:style w:type="paragraph" w:styleId="Header">
    <w:name w:val="header"/>
    <w:basedOn w:val="Normal"/>
    <w:link w:val="HeaderChar"/>
    <w:uiPriority w:val="99"/>
    <w:rsid w:val="00D016AC"/>
    <w:pPr>
      <w:tabs>
        <w:tab w:val="center" w:pos="4536"/>
        <w:tab w:val="right" w:pos="9072"/>
      </w:tabs>
    </w:pPr>
  </w:style>
  <w:style w:type="character" w:customStyle="1" w:styleId="HeaderChar">
    <w:name w:val="Header Char"/>
    <w:basedOn w:val="DefaultParagraphFont"/>
    <w:link w:val="Header"/>
    <w:uiPriority w:val="99"/>
    <w:locked/>
    <w:rsid w:val="00D016AC"/>
    <w:rPr>
      <w:rFonts w:ascii="Times New Roman" w:hAnsi="Times New Roman" w:cs="Times New Roman"/>
      <w:sz w:val="20"/>
      <w:szCs w:val="20"/>
      <w:lang w:eastAsia="pl-PL"/>
    </w:rPr>
  </w:style>
  <w:style w:type="paragraph" w:styleId="Footer">
    <w:name w:val="footer"/>
    <w:basedOn w:val="Normal"/>
    <w:link w:val="FooterChar"/>
    <w:uiPriority w:val="99"/>
    <w:rsid w:val="00D016AC"/>
    <w:pPr>
      <w:tabs>
        <w:tab w:val="center" w:pos="4536"/>
        <w:tab w:val="right" w:pos="9072"/>
      </w:tabs>
    </w:pPr>
  </w:style>
  <w:style w:type="character" w:customStyle="1" w:styleId="FooterChar">
    <w:name w:val="Footer Char"/>
    <w:basedOn w:val="DefaultParagraphFont"/>
    <w:link w:val="Footer"/>
    <w:uiPriority w:val="99"/>
    <w:locked/>
    <w:rsid w:val="00D016AC"/>
    <w:rPr>
      <w:rFonts w:ascii="Times New Roman" w:hAnsi="Times New Roman" w:cs="Times New Roman"/>
      <w:sz w:val="20"/>
      <w:szCs w:val="20"/>
      <w:lang w:eastAsia="pl-PL"/>
    </w:rPr>
  </w:style>
  <w:style w:type="paragraph" w:styleId="ListParagraph">
    <w:name w:val="List Paragraph"/>
    <w:basedOn w:val="Normal"/>
    <w:uiPriority w:val="99"/>
    <w:qFormat/>
    <w:rsid w:val="00227D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4</Pages>
  <Words>1631</Words>
  <Characters>9786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Sobolewski</dc:creator>
  <cp:keywords/>
  <dc:description/>
  <cp:lastModifiedBy>p.ostrowska</cp:lastModifiedBy>
  <cp:revision>25</cp:revision>
  <dcterms:created xsi:type="dcterms:W3CDTF">2016-08-31T08:12:00Z</dcterms:created>
  <dcterms:modified xsi:type="dcterms:W3CDTF">2016-10-11T14:44:00Z</dcterms:modified>
</cp:coreProperties>
</file>